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F145" w14:textId="77777777" w:rsidR="00667BC6" w:rsidRPr="00BB1811" w:rsidRDefault="00667BC6" w:rsidP="00667BC6">
      <w:pPr>
        <w:tabs>
          <w:tab w:val="left" w:pos="3570"/>
        </w:tabs>
        <w:jc w:val="center"/>
        <w:rPr>
          <w:rFonts w:ascii="Times New Roman Bold" w:hAnsi="Times New Roman Bold"/>
          <w:szCs w:val="24"/>
          <w:lang w:val="en-GB"/>
        </w:rPr>
      </w:pPr>
      <w:r w:rsidRPr="00BB1811">
        <w:rPr>
          <w:rFonts w:ascii="Times New Roman Bold" w:hAnsi="Times New Roman Bold"/>
          <w:szCs w:val="24"/>
          <w:lang w:val="en-GB"/>
        </w:rPr>
        <w:t>Gandaki Provincial Government</w:t>
      </w:r>
    </w:p>
    <w:p w14:paraId="5A3BDD26" w14:textId="77777777" w:rsidR="00667BC6" w:rsidRPr="00BB1811" w:rsidRDefault="00667BC6" w:rsidP="00667BC6">
      <w:pPr>
        <w:tabs>
          <w:tab w:val="left" w:pos="3570"/>
        </w:tabs>
        <w:jc w:val="center"/>
        <w:rPr>
          <w:rFonts w:ascii="Times New Roman Bold" w:hAnsi="Times New Roman Bold"/>
          <w:szCs w:val="24"/>
          <w:lang w:val="en-GB"/>
        </w:rPr>
      </w:pPr>
      <w:r w:rsidRPr="00BB1811">
        <w:rPr>
          <w:rFonts w:ascii="Times New Roman Bold" w:hAnsi="Times New Roman Bold"/>
          <w:szCs w:val="24"/>
          <w:lang w:val="en-GB"/>
        </w:rPr>
        <w:t xml:space="preserve">Ministry of Social Development and Health </w:t>
      </w:r>
    </w:p>
    <w:p w14:paraId="459FE906" w14:textId="77777777" w:rsidR="00667BC6" w:rsidRPr="00BB1811" w:rsidRDefault="00667BC6" w:rsidP="00667BC6">
      <w:pPr>
        <w:tabs>
          <w:tab w:val="left" w:pos="3570"/>
        </w:tabs>
        <w:jc w:val="center"/>
        <w:rPr>
          <w:rFonts w:ascii="Times New Roman Bold" w:hAnsi="Times New Roman Bold"/>
          <w:szCs w:val="24"/>
          <w:lang w:val="en-GB"/>
        </w:rPr>
      </w:pPr>
      <w:r w:rsidRPr="00BB1811">
        <w:rPr>
          <w:rFonts w:ascii="Times New Roman Bold" w:hAnsi="Times New Roman Bold"/>
          <w:szCs w:val="24"/>
          <w:lang w:val="en-GB"/>
        </w:rPr>
        <w:t>Province Health Logistics Management Centre</w:t>
      </w:r>
    </w:p>
    <w:p w14:paraId="22BB6C70" w14:textId="0584F1D1" w:rsidR="00667BC6" w:rsidRPr="00BB1811" w:rsidRDefault="00667BC6" w:rsidP="00667BC6">
      <w:pPr>
        <w:tabs>
          <w:tab w:val="left" w:pos="3570"/>
        </w:tabs>
        <w:jc w:val="center"/>
        <w:rPr>
          <w:rFonts w:ascii="Times New Roman Bold" w:hAnsi="Times New Roman Bold"/>
          <w:szCs w:val="24"/>
          <w:lang w:val="en-GB"/>
        </w:rPr>
      </w:pPr>
      <w:r w:rsidRPr="00BB1811">
        <w:rPr>
          <w:rFonts w:ascii="Times New Roman Bold" w:hAnsi="Times New Roman Bold"/>
          <w:szCs w:val="24"/>
          <w:lang w:val="en-GB"/>
        </w:rPr>
        <w:t xml:space="preserve">Pokhara, </w:t>
      </w:r>
      <w:r w:rsidR="007B5B84" w:rsidRPr="00BB1811">
        <w:rPr>
          <w:rFonts w:ascii="Times New Roman Bold" w:hAnsi="Times New Roman Bold"/>
          <w:szCs w:val="24"/>
          <w:lang w:val="en-GB"/>
        </w:rPr>
        <w:t>K</w:t>
      </w:r>
      <w:r w:rsidRPr="00BB1811">
        <w:rPr>
          <w:rFonts w:ascii="Times New Roman Bold" w:hAnsi="Times New Roman Bold"/>
          <w:szCs w:val="24"/>
          <w:lang w:val="en-GB"/>
        </w:rPr>
        <w:t>aski</w:t>
      </w:r>
    </w:p>
    <w:p w14:paraId="0B3BD5B0" w14:textId="77777777" w:rsidR="00667BC6" w:rsidRPr="00BB1811" w:rsidRDefault="00667BC6" w:rsidP="00667BC6">
      <w:pPr>
        <w:suppressAutoHyphens/>
        <w:ind w:left="360" w:right="216"/>
        <w:jc w:val="center"/>
        <w:rPr>
          <w:b/>
          <w:szCs w:val="24"/>
          <w:lang w:val="en-GB"/>
        </w:rPr>
      </w:pPr>
      <w:r w:rsidRPr="00BB1811">
        <w:rPr>
          <w:b/>
          <w:szCs w:val="24"/>
          <w:lang w:val="en-GB"/>
        </w:rPr>
        <w:t>Invitation for Electronic Bids</w:t>
      </w:r>
    </w:p>
    <w:p w14:paraId="118181FA" w14:textId="77777777" w:rsidR="00667BC6" w:rsidRPr="00BB1811" w:rsidRDefault="00667BC6" w:rsidP="00667BC6">
      <w:pPr>
        <w:suppressAutoHyphens/>
        <w:ind w:left="360" w:right="216"/>
        <w:jc w:val="center"/>
        <w:rPr>
          <w:b/>
          <w:bCs/>
          <w:szCs w:val="24"/>
          <w:u w:val="single"/>
          <w:lang w:val="en-GB"/>
        </w:rPr>
      </w:pPr>
      <w:r w:rsidRPr="00BB1811">
        <w:rPr>
          <w:b/>
          <w:bCs/>
          <w:szCs w:val="24"/>
          <w:u w:val="single"/>
        </w:rPr>
        <w:t>Single Stage Two Envelope Bidding</w:t>
      </w:r>
      <w:r w:rsidRPr="00BB1811">
        <w:rPr>
          <w:rFonts w:ascii="Arial" w:eastAsia="Arial Unicode MS" w:hAnsi="Arial" w:cs="Arial"/>
          <w:b/>
          <w:bCs/>
          <w:spacing w:val="-2"/>
          <w:szCs w:val="24"/>
          <w:u w:val="single"/>
        </w:rPr>
        <w:t xml:space="preserve"> </w:t>
      </w:r>
      <w:r w:rsidRPr="00BB1811">
        <w:rPr>
          <w:b/>
          <w:bCs/>
          <w:szCs w:val="24"/>
          <w:u w:val="single"/>
        </w:rPr>
        <w:t>procedures</w:t>
      </w:r>
    </w:p>
    <w:p w14:paraId="306420C6" w14:textId="648DCF5C" w:rsidR="00667BC6" w:rsidRPr="00BB1811" w:rsidRDefault="00667BC6" w:rsidP="00667BC6">
      <w:pPr>
        <w:ind w:left="360" w:right="216"/>
        <w:jc w:val="center"/>
        <w:rPr>
          <w:bCs/>
          <w:szCs w:val="24"/>
        </w:rPr>
      </w:pPr>
      <w:r w:rsidRPr="00BB1811">
        <w:rPr>
          <w:b/>
          <w:szCs w:val="24"/>
        </w:rPr>
        <w:t>Date of publication</w:t>
      </w:r>
      <w:r w:rsidRPr="00BB1811">
        <w:rPr>
          <w:bCs/>
          <w:szCs w:val="24"/>
        </w:rPr>
        <w:t xml:space="preserve">: </w:t>
      </w:r>
      <w:r w:rsidRPr="00BB1811">
        <w:rPr>
          <w:b/>
          <w:szCs w:val="24"/>
        </w:rPr>
        <w:t>15</w:t>
      </w:r>
      <w:r w:rsidRPr="00BB1811">
        <w:rPr>
          <w:b/>
          <w:bCs/>
          <w:szCs w:val="24"/>
          <w:lang w:val="en-GB"/>
        </w:rPr>
        <w:t xml:space="preserve"> September, 2023 (Bhadra 2</w:t>
      </w:r>
      <w:r w:rsidRPr="00BB1811">
        <w:rPr>
          <w:b/>
          <w:bCs/>
          <w:szCs w:val="24"/>
          <w:lang w:val="en-GB"/>
        </w:rPr>
        <w:t>9</w:t>
      </w:r>
      <w:r w:rsidRPr="00BB1811">
        <w:rPr>
          <w:b/>
          <w:bCs/>
          <w:szCs w:val="24"/>
          <w:lang w:val="en-GB"/>
        </w:rPr>
        <w:t>, 2080)</w:t>
      </w:r>
    </w:p>
    <w:p w14:paraId="0C4A1450" w14:textId="38A2D44E" w:rsidR="00667BC6" w:rsidRPr="00BB1811" w:rsidRDefault="00667BC6" w:rsidP="00667BC6">
      <w:pPr>
        <w:pStyle w:val="Title"/>
        <w:spacing w:after="120"/>
        <w:ind w:left="360" w:right="216"/>
        <w:rPr>
          <w:sz w:val="24"/>
          <w:szCs w:val="24"/>
          <w:lang w:val="en-GB"/>
        </w:rPr>
      </w:pPr>
      <w:r w:rsidRPr="00BB1811">
        <w:rPr>
          <w:rFonts w:eastAsia="Arial Unicode MS"/>
          <w:spacing w:val="-3"/>
          <w:sz w:val="24"/>
          <w:szCs w:val="24"/>
        </w:rPr>
        <w:t>IFB No:</w:t>
      </w:r>
      <w:r w:rsidRPr="00BB1811">
        <w:rPr>
          <w:b w:val="0"/>
          <w:bCs/>
          <w:sz w:val="24"/>
          <w:szCs w:val="24"/>
          <w:lang w:val="en-GB"/>
        </w:rPr>
        <w:t xml:space="preserve"> </w:t>
      </w:r>
      <w:r w:rsidRPr="00BB1811">
        <w:rPr>
          <w:sz w:val="24"/>
          <w:szCs w:val="24"/>
          <w:lang w:val="en-GB"/>
        </w:rPr>
        <w:t>PHLMC/G/NCB-</w:t>
      </w:r>
      <w:r w:rsidR="00550F49" w:rsidRPr="00BB1811">
        <w:rPr>
          <w:sz w:val="24"/>
          <w:szCs w:val="24"/>
          <w:lang w:val="en-GB"/>
        </w:rPr>
        <w:t>4</w:t>
      </w:r>
      <w:r w:rsidRPr="00BB1811">
        <w:rPr>
          <w:sz w:val="24"/>
          <w:szCs w:val="24"/>
          <w:lang w:val="en-GB"/>
        </w:rPr>
        <w:t>.1/2080-81,</w:t>
      </w:r>
      <w:r w:rsidRPr="00BB1811">
        <w:rPr>
          <w:b w:val="0"/>
          <w:bCs/>
          <w:sz w:val="24"/>
          <w:szCs w:val="24"/>
          <w:lang w:val="en-GB"/>
        </w:rPr>
        <w:t xml:space="preserve"> </w:t>
      </w:r>
      <w:r w:rsidRPr="00BB1811">
        <w:rPr>
          <w:sz w:val="24"/>
          <w:szCs w:val="24"/>
          <w:lang w:val="en-GB"/>
        </w:rPr>
        <w:t>PHLMC/G/NCB-</w:t>
      </w:r>
      <w:r w:rsidR="00550F49" w:rsidRPr="00BB1811">
        <w:rPr>
          <w:sz w:val="24"/>
          <w:szCs w:val="24"/>
          <w:lang w:val="en-GB"/>
        </w:rPr>
        <w:t>4</w:t>
      </w:r>
      <w:r w:rsidRPr="00BB1811">
        <w:rPr>
          <w:sz w:val="24"/>
          <w:szCs w:val="24"/>
          <w:lang w:val="en-GB"/>
        </w:rPr>
        <w:t>.</w:t>
      </w:r>
      <w:r w:rsidR="00550F49" w:rsidRPr="00BB1811">
        <w:rPr>
          <w:sz w:val="24"/>
          <w:szCs w:val="24"/>
          <w:lang w:val="en-GB"/>
        </w:rPr>
        <w:t>2</w:t>
      </w:r>
      <w:r w:rsidRPr="00BB1811">
        <w:rPr>
          <w:sz w:val="24"/>
          <w:szCs w:val="24"/>
          <w:lang w:val="en-GB"/>
        </w:rPr>
        <w:t>/2080-81, PHLMC/G/NCB-</w:t>
      </w:r>
      <w:r w:rsidR="00550F49" w:rsidRPr="00BB1811">
        <w:rPr>
          <w:sz w:val="24"/>
          <w:szCs w:val="24"/>
          <w:lang w:val="en-GB"/>
        </w:rPr>
        <w:t>4</w:t>
      </w:r>
      <w:r w:rsidRPr="00BB1811">
        <w:rPr>
          <w:sz w:val="24"/>
          <w:szCs w:val="24"/>
          <w:lang w:val="en-GB"/>
        </w:rPr>
        <w:t>.</w:t>
      </w:r>
      <w:r w:rsidR="00550F49" w:rsidRPr="00BB1811">
        <w:rPr>
          <w:sz w:val="24"/>
          <w:szCs w:val="24"/>
          <w:lang w:val="en-GB"/>
        </w:rPr>
        <w:t>3</w:t>
      </w:r>
      <w:r w:rsidRPr="00BB1811">
        <w:rPr>
          <w:sz w:val="24"/>
          <w:szCs w:val="24"/>
          <w:lang w:val="en-GB"/>
        </w:rPr>
        <w:t>/2080-81</w:t>
      </w:r>
      <w:r w:rsidR="004B7420" w:rsidRPr="00BB1811">
        <w:rPr>
          <w:sz w:val="24"/>
          <w:szCs w:val="24"/>
          <w:lang w:val="en-GB"/>
        </w:rPr>
        <w:t xml:space="preserve"> and </w:t>
      </w:r>
      <w:r w:rsidRPr="00BB1811">
        <w:rPr>
          <w:sz w:val="24"/>
          <w:szCs w:val="24"/>
          <w:lang w:val="en-GB"/>
        </w:rPr>
        <w:t>PHLMC/G/NCB-</w:t>
      </w:r>
      <w:r w:rsidR="00550F49" w:rsidRPr="00BB1811">
        <w:rPr>
          <w:sz w:val="24"/>
          <w:szCs w:val="24"/>
          <w:lang w:val="en-GB"/>
        </w:rPr>
        <w:t>11</w:t>
      </w:r>
      <w:r w:rsidRPr="00BB1811">
        <w:rPr>
          <w:sz w:val="24"/>
          <w:szCs w:val="24"/>
          <w:lang w:val="en-GB"/>
        </w:rPr>
        <w:t>/2080-81</w:t>
      </w:r>
    </w:p>
    <w:p w14:paraId="10FA0660" w14:textId="136E5FBD" w:rsidR="00667BC6" w:rsidRPr="00BB1811" w:rsidRDefault="00667BC6" w:rsidP="00667BC6">
      <w:pPr>
        <w:numPr>
          <w:ilvl w:val="0"/>
          <w:numId w:val="1"/>
        </w:numPr>
        <w:autoSpaceDE w:val="0"/>
        <w:autoSpaceDN w:val="0"/>
        <w:adjustRightInd w:val="0"/>
        <w:spacing w:before="120" w:after="120"/>
        <w:ind w:right="216"/>
        <w:rPr>
          <w:sz w:val="16"/>
          <w:szCs w:val="16"/>
          <w:lang w:val="en-GB"/>
        </w:rPr>
      </w:pPr>
      <w:r w:rsidRPr="00BB1811">
        <w:rPr>
          <w:sz w:val="16"/>
          <w:szCs w:val="16"/>
        </w:rPr>
        <w:t xml:space="preserve">The </w:t>
      </w:r>
      <w:r w:rsidRPr="00BB1811">
        <w:rPr>
          <w:b/>
          <w:bCs/>
          <w:sz w:val="16"/>
          <w:szCs w:val="16"/>
        </w:rPr>
        <w:t>Province Health Logistics Management Center, Gandaki</w:t>
      </w:r>
      <w:r w:rsidRPr="00BB1811">
        <w:rPr>
          <w:sz w:val="16"/>
          <w:szCs w:val="16"/>
        </w:rPr>
        <w:t xml:space="preserve"> invites </w:t>
      </w:r>
      <w:r w:rsidRPr="00BB1811">
        <w:rPr>
          <w:b/>
          <w:bCs/>
          <w:i/>
          <w:iCs/>
          <w:sz w:val="16"/>
          <w:szCs w:val="16"/>
        </w:rPr>
        <w:t>electronic</w:t>
      </w:r>
      <w:r w:rsidRPr="00BB1811">
        <w:rPr>
          <w:sz w:val="16"/>
          <w:szCs w:val="16"/>
        </w:rPr>
        <w:t xml:space="preserve"> bids from eligible bidders for the </w:t>
      </w:r>
      <w:r w:rsidRPr="00BB1811">
        <w:rPr>
          <w:b/>
          <w:bCs/>
          <w:sz w:val="16"/>
          <w:szCs w:val="16"/>
        </w:rPr>
        <w:t>Procurement</w:t>
      </w:r>
      <w:r w:rsidR="00550F49" w:rsidRPr="00BB1811">
        <w:rPr>
          <w:b/>
          <w:bCs/>
          <w:sz w:val="16"/>
          <w:szCs w:val="16"/>
        </w:rPr>
        <w:t xml:space="preserve"> of </w:t>
      </w:r>
      <w:r w:rsidR="00550F49" w:rsidRPr="00BB1811">
        <w:rPr>
          <w:b/>
          <w:bCs/>
          <w:sz w:val="16"/>
          <w:szCs w:val="16"/>
        </w:rPr>
        <w:t xml:space="preserve">NSAID Gastrointestinal, </w:t>
      </w:r>
      <w:r w:rsidR="002A2752" w:rsidRPr="00BB1811">
        <w:rPr>
          <w:b/>
          <w:bCs/>
          <w:sz w:val="16"/>
          <w:szCs w:val="16"/>
        </w:rPr>
        <w:t>Cardiovascular and</w:t>
      </w:r>
      <w:r w:rsidR="00550F49" w:rsidRPr="00BB1811">
        <w:rPr>
          <w:b/>
          <w:bCs/>
          <w:sz w:val="16"/>
          <w:szCs w:val="16"/>
        </w:rPr>
        <w:t xml:space="preserve"> Respiratory Drugs</w:t>
      </w:r>
      <w:r w:rsidRPr="00BB1811">
        <w:rPr>
          <w:b/>
          <w:bCs/>
          <w:sz w:val="16"/>
          <w:szCs w:val="16"/>
        </w:rPr>
        <w:t>; Procurement</w:t>
      </w:r>
      <w:r w:rsidR="00550F49" w:rsidRPr="00BB1811">
        <w:rPr>
          <w:b/>
          <w:bCs/>
          <w:sz w:val="16"/>
          <w:szCs w:val="16"/>
        </w:rPr>
        <w:t xml:space="preserve"> of Antimicrobial </w:t>
      </w:r>
      <w:r w:rsidR="002A2752" w:rsidRPr="00BB1811">
        <w:rPr>
          <w:b/>
          <w:bCs/>
          <w:sz w:val="16"/>
          <w:szCs w:val="16"/>
        </w:rPr>
        <w:t>Drugs;</w:t>
      </w:r>
      <w:r w:rsidR="00550F49" w:rsidRPr="00BB1811">
        <w:rPr>
          <w:b/>
          <w:bCs/>
          <w:sz w:val="16"/>
          <w:szCs w:val="16"/>
        </w:rPr>
        <w:t xml:space="preserve"> </w:t>
      </w:r>
      <w:r w:rsidR="00550F49" w:rsidRPr="00BB1811">
        <w:rPr>
          <w:b/>
          <w:bCs/>
          <w:sz w:val="16"/>
          <w:szCs w:val="16"/>
        </w:rPr>
        <w:t xml:space="preserve">Procurement of </w:t>
      </w:r>
      <w:r w:rsidR="00550F49" w:rsidRPr="00BB1811">
        <w:rPr>
          <w:b/>
          <w:bCs/>
          <w:sz w:val="16"/>
          <w:szCs w:val="16"/>
        </w:rPr>
        <w:t xml:space="preserve">Miscellaneous Drugs and </w:t>
      </w:r>
      <w:r w:rsidR="00550F49" w:rsidRPr="00BB1811">
        <w:rPr>
          <w:b/>
          <w:bCs/>
          <w:sz w:val="16"/>
          <w:szCs w:val="16"/>
        </w:rPr>
        <w:t xml:space="preserve">Procurement </w:t>
      </w:r>
      <w:r w:rsidR="00A20BED" w:rsidRPr="00BB1811">
        <w:rPr>
          <w:b/>
          <w:bCs/>
          <w:sz w:val="16"/>
          <w:szCs w:val="16"/>
        </w:rPr>
        <w:t>of NCD</w:t>
      </w:r>
      <w:r w:rsidR="00550F49" w:rsidRPr="00BB1811">
        <w:rPr>
          <w:b/>
          <w:bCs/>
          <w:sz w:val="16"/>
          <w:szCs w:val="16"/>
        </w:rPr>
        <w:t xml:space="preserve"> and Mental Health </w:t>
      </w:r>
      <w:r w:rsidR="002A2752" w:rsidRPr="00BB1811">
        <w:rPr>
          <w:b/>
          <w:bCs/>
          <w:sz w:val="16"/>
          <w:szCs w:val="16"/>
        </w:rPr>
        <w:t>Drugs under</w:t>
      </w:r>
      <w:r w:rsidRPr="00BB1811">
        <w:rPr>
          <w:sz w:val="16"/>
          <w:szCs w:val="16"/>
        </w:rPr>
        <w:t xml:space="preserve"> National competitive bidding – Single Stage Two Envelope</w:t>
      </w:r>
      <w:r w:rsidRPr="00BB1811">
        <w:rPr>
          <w:rFonts w:ascii="Arial" w:eastAsia="Arial Unicode MS" w:hAnsi="Arial" w:cs="Arial"/>
          <w:spacing w:val="-2"/>
          <w:sz w:val="16"/>
          <w:szCs w:val="16"/>
        </w:rPr>
        <w:t xml:space="preserve"> </w:t>
      </w:r>
      <w:r w:rsidRPr="00BB1811">
        <w:rPr>
          <w:sz w:val="16"/>
          <w:szCs w:val="16"/>
        </w:rPr>
        <w:t>procedures</w:t>
      </w:r>
      <w:r w:rsidRPr="00BB1811">
        <w:rPr>
          <w:b/>
          <w:bCs/>
          <w:i/>
          <w:iCs/>
          <w:sz w:val="16"/>
          <w:szCs w:val="16"/>
        </w:rPr>
        <w:t>.</w:t>
      </w:r>
      <w:r w:rsidRPr="00BB1811">
        <w:rPr>
          <w:i/>
          <w:sz w:val="16"/>
          <w:szCs w:val="16"/>
        </w:rPr>
        <w:t xml:space="preserve"> </w:t>
      </w:r>
    </w:p>
    <w:p w14:paraId="62D34506" w14:textId="77777777" w:rsidR="00667BC6" w:rsidRPr="00BB1811" w:rsidRDefault="00667BC6" w:rsidP="00667BC6">
      <w:pPr>
        <w:numPr>
          <w:ilvl w:val="0"/>
          <w:numId w:val="1"/>
        </w:numPr>
        <w:autoSpaceDE w:val="0"/>
        <w:autoSpaceDN w:val="0"/>
        <w:adjustRightInd w:val="0"/>
        <w:spacing w:before="120" w:after="120"/>
        <w:ind w:right="216"/>
        <w:rPr>
          <w:i/>
          <w:sz w:val="16"/>
          <w:szCs w:val="16"/>
        </w:rPr>
      </w:pPr>
      <w:r w:rsidRPr="00BB1811">
        <w:rPr>
          <w:sz w:val="16"/>
          <w:szCs w:val="16"/>
        </w:rPr>
        <w:t>Under the Single Stage, Two Envelope Procedure, Bidders are required to submit simultaneously two separate sealed envelopes, one containing (</w:t>
      </w:r>
      <w:proofErr w:type="spellStart"/>
      <w:r w:rsidRPr="00BB1811">
        <w:rPr>
          <w:sz w:val="16"/>
          <w:szCs w:val="16"/>
        </w:rPr>
        <w:t>i</w:t>
      </w:r>
      <w:proofErr w:type="spellEnd"/>
      <w:r w:rsidRPr="00BB1811">
        <w:rPr>
          <w:sz w:val="16"/>
          <w:szCs w:val="16"/>
        </w:rPr>
        <w:t>) the Technical Bid and the other (ii) the Price Bid, both in turn enclosed in one sealed envelope as per the provision of ITB 23 of the Bidding Document</w:t>
      </w:r>
    </w:p>
    <w:tbl>
      <w:tblPr>
        <w:tblW w:w="4382" w:type="pct"/>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77"/>
        <w:gridCol w:w="1612"/>
        <w:gridCol w:w="1372"/>
        <w:gridCol w:w="1564"/>
        <w:gridCol w:w="1564"/>
      </w:tblGrid>
      <w:tr w:rsidR="00667BC6" w:rsidRPr="00BB1811" w14:paraId="087A966E" w14:textId="77777777" w:rsidTr="00116A96">
        <w:trPr>
          <w:trHeight w:val="43"/>
        </w:trPr>
        <w:tc>
          <w:tcPr>
            <w:tcW w:w="1268" w:type="pct"/>
            <w:shd w:val="clear" w:color="auto" w:fill="auto"/>
            <w:vAlign w:val="center"/>
            <w:hideMark/>
          </w:tcPr>
          <w:p w14:paraId="5E0BE134" w14:textId="77777777" w:rsidR="00667BC6" w:rsidRPr="00BB1811" w:rsidRDefault="00667BC6" w:rsidP="00803334">
            <w:pPr>
              <w:tabs>
                <w:tab w:val="left" w:pos="180"/>
              </w:tabs>
              <w:jc w:val="center"/>
              <w:rPr>
                <w:b/>
                <w:bCs/>
                <w:sz w:val="16"/>
                <w:szCs w:val="16"/>
                <w:lang w:bidi="ne-NP"/>
              </w:rPr>
            </w:pPr>
            <w:r w:rsidRPr="00BB1811">
              <w:rPr>
                <w:b/>
                <w:bCs/>
                <w:sz w:val="16"/>
                <w:szCs w:val="16"/>
                <w:lang w:bidi="ne-NP"/>
              </w:rPr>
              <w:t>IFB no:</w:t>
            </w:r>
          </w:p>
        </w:tc>
        <w:tc>
          <w:tcPr>
            <w:tcW w:w="984" w:type="pct"/>
            <w:shd w:val="clear" w:color="auto" w:fill="auto"/>
            <w:vAlign w:val="center"/>
            <w:hideMark/>
          </w:tcPr>
          <w:p w14:paraId="08CB628F" w14:textId="77777777" w:rsidR="00667BC6" w:rsidRPr="00BB1811" w:rsidRDefault="00667BC6" w:rsidP="00803334">
            <w:pPr>
              <w:tabs>
                <w:tab w:val="left" w:pos="180"/>
              </w:tabs>
              <w:jc w:val="center"/>
              <w:rPr>
                <w:b/>
                <w:bCs/>
                <w:sz w:val="16"/>
                <w:szCs w:val="16"/>
                <w:lang w:bidi="ne-NP"/>
              </w:rPr>
            </w:pPr>
            <w:r w:rsidRPr="00BB1811">
              <w:rPr>
                <w:b/>
                <w:bCs/>
                <w:sz w:val="16"/>
                <w:szCs w:val="16"/>
                <w:lang w:bidi="ne-NP"/>
              </w:rPr>
              <w:t>Item Description</w:t>
            </w:r>
          </w:p>
        </w:tc>
        <w:tc>
          <w:tcPr>
            <w:tcW w:w="838" w:type="pct"/>
            <w:shd w:val="clear" w:color="auto" w:fill="auto"/>
            <w:vAlign w:val="center"/>
            <w:hideMark/>
          </w:tcPr>
          <w:p w14:paraId="7D90B32E" w14:textId="77777777" w:rsidR="00667BC6" w:rsidRPr="00BB1811" w:rsidRDefault="00667BC6" w:rsidP="00803334">
            <w:pPr>
              <w:tabs>
                <w:tab w:val="left" w:pos="180"/>
              </w:tabs>
              <w:jc w:val="center"/>
              <w:rPr>
                <w:b/>
                <w:bCs/>
                <w:sz w:val="16"/>
                <w:szCs w:val="16"/>
                <w:lang w:bidi="ne-NP"/>
              </w:rPr>
            </w:pPr>
            <w:r w:rsidRPr="00BB1811">
              <w:rPr>
                <w:b/>
                <w:bCs/>
                <w:sz w:val="16"/>
                <w:szCs w:val="16"/>
                <w:lang w:bidi="ne-NP"/>
              </w:rPr>
              <w:t>Bid Security in NPR</w:t>
            </w:r>
          </w:p>
        </w:tc>
        <w:tc>
          <w:tcPr>
            <w:tcW w:w="955" w:type="pct"/>
          </w:tcPr>
          <w:p w14:paraId="3336E47F" w14:textId="77777777" w:rsidR="00667BC6" w:rsidRPr="00BB1811" w:rsidRDefault="00667BC6" w:rsidP="00803334">
            <w:pPr>
              <w:tabs>
                <w:tab w:val="left" w:pos="180"/>
              </w:tabs>
              <w:jc w:val="center"/>
              <w:rPr>
                <w:b/>
                <w:bCs/>
                <w:sz w:val="16"/>
                <w:szCs w:val="16"/>
                <w:lang w:bidi="ne-NP"/>
              </w:rPr>
            </w:pPr>
            <w:r w:rsidRPr="00BB1811">
              <w:rPr>
                <w:b/>
                <w:bCs/>
                <w:sz w:val="16"/>
                <w:szCs w:val="16"/>
                <w:lang w:bidi="ne-NP"/>
              </w:rPr>
              <w:t>Bid Doc Fee NRS</w:t>
            </w:r>
          </w:p>
        </w:tc>
        <w:tc>
          <w:tcPr>
            <w:tcW w:w="955" w:type="pct"/>
            <w:shd w:val="clear" w:color="auto" w:fill="auto"/>
            <w:vAlign w:val="center"/>
            <w:hideMark/>
          </w:tcPr>
          <w:p w14:paraId="5BE8AE7B" w14:textId="77777777" w:rsidR="00667BC6" w:rsidRPr="00BB1811" w:rsidRDefault="00667BC6" w:rsidP="00803334">
            <w:pPr>
              <w:tabs>
                <w:tab w:val="left" w:pos="180"/>
              </w:tabs>
              <w:jc w:val="center"/>
              <w:rPr>
                <w:b/>
                <w:bCs/>
                <w:sz w:val="16"/>
                <w:szCs w:val="16"/>
                <w:lang w:bidi="ne-NP"/>
              </w:rPr>
            </w:pPr>
            <w:r w:rsidRPr="00BB1811">
              <w:rPr>
                <w:b/>
                <w:bCs/>
                <w:sz w:val="16"/>
                <w:szCs w:val="16"/>
                <w:lang w:bidi="ne-NP"/>
              </w:rPr>
              <w:t>Bid Security Validity</w:t>
            </w:r>
          </w:p>
        </w:tc>
      </w:tr>
      <w:tr w:rsidR="00C54D9E" w:rsidRPr="00BB1811" w14:paraId="663377C2" w14:textId="77777777" w:rsidTr="00116A96">
        <w:trPr>
          <w:trHeight w:val="667"/>
        </w:trPr>
        <w:tc>
          <w:tcPr>
            <w:tcW w:w="1268" w:type="pct"/>
            <w:shd w:val="clear" w:color="auto" w:fill="auto"/>
            <w:noWrap/>
            <w:vAlign w:val="center"/>
            <w:hideMark/>
          </w:tcPr>
          <w:p w14:paraId="61E9A318" w14:textId="768171D7" w:rsidR="00C54D9E" w:rsidRPr="00BB1811" w:rsidRDefault="00C54D9E" w:rsidP="00803334">
            <w:pPr>
              <w:tabs>
                <w:tab w:val="left" w:pos="180"/>
              </w:tabs>
              <w:jc w:val="center"/>
              <w:rPr>
                <w:b/>
                <w:bCs/>
                <w:sz w:val="16"/>
                <w:szCs w:val="16"/>
              </w:rPr>
            </w:pPr>
            <w:r w:rsidRPr="00BB1811">
              <w:rPr>
                <w:b/>
                <w:bCs/>
                <w:sz w:val="16"/>
                <w:szCs w:val="16"/>
                <w:lang w:val="en-GB"/>
              </w:rPr>
              <w:t>PHLMC/G/NCB-</w:t>
            </w:r>
            <w:r w:rsidRPr="00BB1811">
              <w:rPr>
                <w:b/>
                <w:bCs/>
                <w:sz w:val="16"/>
                <w:szCs w:val="16"/>
                <w:lang w:val="en-GB"/>
              </w:rPr>
              <w:t>4</w:t>
            </w:r>
            <w:r w:rsidRPr="00BB1811">
              <w:rPr>
                <w:b/>
                <w:bCs/>
                <w:sz w:val="16"/>
                <w:szCs w:val="16"/>
                <w:lang w:val="en-GB"/>
              </w:rPr>
              <w:t>.1/2080-81</w:t>
            </w:r>
          </w:p>
        </w:tc>
        <w:tc>
          <w:tcPr>
            <w:tcW w:w="984" w:type="pct"/>
            <w:shd w:val="clear" w:color="auto" w:fill="auto"/>
            <w:noWrap/>
            <w:vAlign w:val="center"/>
          </w:tcPr>
          <w:p w14:paraId="5B22C534" w14:textId="5AEA1D17" w:rsidR="00C54D9E" w:rsidRPr="00BB1811" w:rsidRDefault="00C54D9E" w:rsidP="00803334">
            <w:pPr>
              <w:tabs>
                <w:tab w:val="left" w:pos="180"/>
              </w:tabs>
              <w:jc w:val="center"/>
              <w:rPr>
                <w:sz w:val="16"/>
                <w:szCs w:val="16"/>
                <w:lang w:bidi="ne-NP"/>
              </w:rPr>
            </w:pPr>
            <w:r w:rsidRPr="00BB1811">
              <w:rPr>
                <w:b/>
                <w:bCs/>
                <w:sz w:val="16"/>
                <w:szCs w:val="16"/>
              </w:rPr>
              <w:t xml:space="preserve">Procurement of NSAID Gastrointestinal, Cardiovascular and Respiratory </w:t>
            </w:r>
            <w:proofErr w:type="gramStart"/>
            <w:r w:rsidRPr="00BB1811">
              <w:rPr>
                <w:b/>
                <w:bCs/>
                <w:sz w:val="16"/>
                <w:szCs w:val="16"/>
              </w:rPr>
              <w:t>Drugs</w:t>
            </w:r>
            <w:r w:rsidR="00866F9D" w:rsidRPr="00BB1811">
              <w:rPr>
                <w:b/>
                <w:bCs/>
                <w:sz w:val="16"/>
                <w:szCs w:val="16"/>
              </w:rPr>
              <w:t>(</w:t>
            </w:r>
            <w:proofErr w:type="gramEnd"/>
            <w:r w:rsidR="00866F9D" w:rsidRPr="00BB1811">
              <w:rPr>
                <w:b/>
                <w:bCs/>
                <w:sz w:val="16"/>
                <w:szCs w:val="16"/>
              </w:rPr>
              <w:t>Package-1)</w:t>
            </w:r>
          </w:p>
        </w:tc>
        <w:tc>
          <w:tcPr>
            <w:tcW w:w="838" w:type="pct"/>
            <w:shd w:val="clear" w:color="auto" w:fill="auto"/>
            <w:noWrap/>
            <w:vAlign w:val="center"/>
          </w:tcPr>
          <w:p w14:paraId="5FF454E6" w14:textId="5ECED4DC" w:rsidR="00C54D9E" w:rsidRPr="00BB1811" w:rsidRDefault="00C54D9E" w:rsidP="00803334">
            <w:pPr>
              <w:tabs>
                <w:tab w:val="left" w:pos="180"/>
              </w:tabs>
              <w:jc w:val="left"/>
              <w:rPr>
                <w:rFonts w:cs="Mangal"/>
                <w:b/>
                <w:bCs/>
                <w:color w:val="000000"/>
                <w:sz w:val="16"/>
                <w:szCs w:val="16"/>
                <w:lang w:bidi="ne-NP"/>
              </w:rPr>
            </w:pPr>
            <w:r w:rsidRPr="00BB1811">
              <w:rPr>
                <w:rFonts w:cs="Mangal"/>
                <w:b/>
                <w:bCs/>
                <w:color w:val="000000"/>
                <w:sz w:val="16"/>
                <w:szCs w:val="16"/>
                <w:lang w:bidi="ne-NP"/>
              </w:rPr>
              <w:t>7,</w:t>
            </w:r>
            <w:r w:rsidR="00866F9D" w:rsidRPr="00BB1811">
              <w:rPr>
                <w:rFonts w:cs="Mangal"/>
                <w:b/>
                <w:bCs/>
                <w:color w:val="000000"/>
                <w:sz w:val="16"/>
                <w:szCs w:val="16"/>
                <w:lang w:bidi="ne-NP"/>
              </w:rPr>
              <w:t>10</w:t>
            </w:r>
            <w:r w:rsidRPr="00BB1811">
              <w:rPr>
                <w:rFonts w:cs="Mangal"/>
                <w:b/>
                <w:bCs/>
                <w:color w:val="000000"/>
                <w:sz w:val="16"/>
                <w:szCs w:val="16"/>
                <w:lang w:bidi="ne-NP"/>
              </w:rPr>
              <w:t>,000</w:t>
            </w:r>
          </w:p>
        </w:tc>
        <w:tc>
          <w:tcPr>
            <w:tcW w:w="955" w:type="pct"/>
          </w:tcPr>
          <w:p w14:paraId="3B69E2CE" w14:textId="77777777" w:rsidR="00C54D9E" w:rsidRPr="00BB1811" w:rsidRDefault="00C54D9E" w:rsidP="002A2752">
            <w:pPr>
              <w:tabs>
                <w:tab w:val="left" w:pos="180"/>
              </w:tabs>
              <w:jc w:val="center"/>
              <w:rPr>
                <w:b/>
                <w:bCs/>
                <w:color w:val="000000"/>
                <w:sz w:val="16"/>
                <w:szCs w:val="16"/>
                <w:lang w:bidi="ne-NP"/>
              </w:rPr>
            </w:pPr>
          </w:p>
          <w:p w14:paraId="682EDE36" w14:textId="77777777" w:rsidR="00C54D9E" w:rsidRPr="00BB1811" w:rsidRDefault="00C54D9E" w:rsidP="002A2752">
            <w:pPr>
              <w:tabs>
                <w:tab w:val="left" w:pos="180"/>
              </w:tabs>
              <w:jc w:val="center"/>
              <w:rPr>
                <w:b/>
                <w:bCs/>
                <w:color w:val="000000"/>
                <w:sz w:val="16"/>
                <w:szCs w:val="16"/>
                <w:lang w:bidi="ne-NP"/>
              </w:rPr>
            </w:pPr>
          </w:p>
          <w:p w14:paraId="690FB49A" w14:textId="77777777" w:rsidR="00C54D9E" w:rsidRPr="00BB1811" w:rsidRDefault="00C54D9E" w:rsidP="002A2752">
            <w:pPr>
              <w:tabs>
                <w:tab w:val="left" w:pos="180"/>
              </w:tabs>
              <w:jc w:val="center"/>
              <w:rPr>
                <w:b/>
                <w:bCs/>
                <w:color w:val="000000"/>
                <w:sz w:val="16"/>
                <w:szCs w:val="16"/>
                <w:lang w:bidi="ne-NP"/>
              </w:rPr>
            </w:pPr>
            <w:r w:rsidRPr="00BB1811">
              <w:rPr>
                <w:b/>
                <w:bCs/>
                <w:color w:val="000000"/>
                <w:sz w:val="16"/>
                <w:szCs w:val="16"/>
                <w:lang w:bidi="ne-NP"/>
              </w:rPr>
              <w:t>5000</w:t>
            </w:r>
          </w:p>
        </w:tc>
        <w:tc>
          <w:tcPr>
            <w:tcW w:w="955" w:type="pct"/>
            <w:vMerge w:val="restart"/>
            <w:shd w:val="clear" w:color="auto" w:fill="auto"/>
            <w:noWrap/>
            <w:vAlign w:val="center"/>
          </w:tcPr>
          <w:p w14:paraId="1A9062DF" w14:textId="202A76EF" w:rsidR="00C54D9E" w:rsidRPr="00BB1811" w:rsidRDefault="00C54D9E" w:rsidP="00803334">
            <w:pPr>
              <w:tabs>
                <w:tab w:val="left" w:pos="180"/>
              </w:tabs>
              <w:jc w:val="center"/>
              <w:rPr>
                <w:rFonts w:cs="Mangal"/>
                <w:b/>
                <w:bCs/>
                <w:color w:val="000000"/>
                <w:sz w:val="16"/>
                <w:szCs w:val="16"/>
                <w:lang w:bidi="ne-NP"/>
              </w:rPr>
            </w:pPr>
            <w:bookmarkStart w:id="0" w:name="_Hlk82345845"/>
            <w:r w:rsidRPr="00BB1811">
              <w:rPr>
                <w:b/>
                <w:bCs/>
                <w:color w:val="000000"/>
                <w:sz w:val="16"/>
                <w:szCs w:val="16"/>
                <w:lang w:bidi="ne-NP"/>
              </w:rPr>
              <w:t>13</w:t>
            </w:r>
            <w:r w:rsidRPr="00BB1811">
              <w:rPr>
                <w:b/>
                <w:bCs/>
                <w:color w:val="000000"/>
                <w:sz w:val="16"/>
                <w:szCs w:val="16"/>
                <w:lang w:bidi="ne-NP"/>
              </w:rPr>
              <w:t xml:space="preserve"> Feb, 2024</w:t>
            </w:r>
          </w:p>
          <w:bookmarkEnd w:id="0"/>
          <w:p w14:paraId="302DC035" w14:textId="77777777" w:rsidR="00C54D9E" w:rsidRPr="00BB1811" w:rsidRDefault="00C54D9E" w:rsidP="00803334">
            <w:pPr>
              <w:tabs>
                <w:tab w:val="left" w:pos="180"/>
              </w:tabs>
              <w:jc w:val="center"/>
              <w:rPr>
                <w:rFonts w:cs="Mangal"/>
                <w:b/>
                <w:bCs/>
                <w:color w:val="FF0000"/>
                <w:sz w:val="16"/>
                <w:szCs w:val="16"/>
                <w:lang w:bidi="ne-NP"/>
              </w:rPr>
            </w:pPr>
          </w:p>
        </w:tc>
      </w:tr>
      <w:tr w:rsidR="00C54D9E" w:rsidRPr="00BB1811" w14:paraId="6789F224" w14:textId="77777777" w:rsidTr="00116A96">
        <w:trPr>
          <w:trHeight w:val="350"/>
        </w:trPr>
        <w:tc>
          <w:tcPr>
            <w:tcW w:w="1268" w:type="pct"/>
            <w:shd w:val="clear" w:color="auto" w:fill="auto"/>
            <w:noWrap/>
          </w:tcPr>
          <w:p w14:paraId="5F864AC1" w14:textId="1D4EE927" w:rsidR="00C54D9E" w:rsidRPr="00BB1811" w:rsidRDefault="00C54D9E" w:rsidP="00803334">
            <w:pPr>
              <w:tabs>
                <w:tab w:val="left" w:pos="180"/>
              </w:tabs>
              <w:jc w:val="center"/>
              <w:rPr>
                <w:b/>
                <w:bCs/>
                <w:sz w:val="16"/>
                <w:szCs w:val="16"/>
                <w:lang w:val="en-GB"/>
              </w:rPr>
            </w:pPr>
            <w:r w:rsidRPr="00BB1811">
              <w:rPr>
                <w:b/>
                <w:bCs/>
                <w:sz w:val="16"/>
                <w:szCs w:val="16"/>
                <w:lang w:val="en-GB"/>
              </w:rPr>
              <w:t>PHLMC/G/NCB-</w:t>
            </w:r>
            <w:r w:rsidRPr="00BB1811">
              <w:rPr>
                <w:b/>
                <w:bCs/>
                <w:sz w:val="16"/>
                <w:szCs w:val="16"/>
                <w:lang w:val="en-GB"/>
              </w:rPr>
              <w:t>4</w:t>
            </w:r>
            <w:r w:rsidRPr="00BB1811">
              <w:rPr>
                <w:b/>
                <w:bCs/>
                <w:sz w:val="16"/>
                <w:szCs w:val="16"/>
                <w:lang w:val="en-GB"/>
              </w:rPr>
              <w:t>.2/2080-81</w:t>
            </w:r>
          </w:p>
        </w:tc>
        <w:tc>
          <w:tcPr>
            <w:tcW w:w="984" w:type="pct"/>
            <w:shd w:val="clear" w:color="auto" w:fill="auto"/>
            <w:noWrap/>
            <w:vAlign w:val="center"/>
          </w:tcPr>
          <w:p w14:paraId="3DEEC2ED" w14:textId="5DA89F53" w:rsidR="00C54D9E" w:rsidRPr="00BB1811" w:rsidRDefault="00C54D9E" w:rsidP="00803334">
            <w:pPr>
              <w:tabs>
                <w:tab w:val="left" w:pos="180"/>
              </w:tabs>
              <w:jc w:val="center"/>
              <w:rPr>
                <w:b/>
                <w:bCs/>
                <w:sz w:val="16"/>
                <w:szCs w:val="16"/>
              </w:rPr>
            </w:pPr>
            <w:r w:rsidRPr="00BB1811">
              <w:rPr>
                <w:b/>
                <w:bCs/>
                <w:sz w:val="16"/>
                <w:szCs w:val="16"/>
              </w:rPr>
              <w:t>Procurement of Antimicrobial Drugs</w:t>
            </w:r>
            <w:r w:rsidR="00866F9D" w:rsidRPr="00BB1811">
              <w:rPr>
                <w:b/>
                <w:bCs/>
                <w:sz w:val="16"/>
                <w:szCs w:val="16"/>
              </w:rPr>
              <w:t xml:space="preserve"> </w:t>
            </w:r>
            <w:r w:rsidR="00866F9D" w:rsidRPr="00BB1811">
              <w:rPr>
                <w:b/>
                <w:bCs/>
                <w:sz w:val="16"/>
                <w:szCs w:val="16"/>
              </w:rPr>
              <w:t>(Package-</w:t>
            </w:r>
            <w:r w:rsidR="00866F9D" w:rsidRPr="00BB1811">
              <w:rPr>
                <w:b/>
                <w:bCs/>
                <w:sz w:val="16"/>
                <w:szCs w:val="16"/>
              </w:rPr>
              <w:t>2</w:t>
            </w:r>
            <w:r w:rsidR="00866F9D" w:rsidRPr="00BB1811">
              <w:rPr>
                <w:b/>
                <w:bCs/>
                <w:sz w:val="16"/>
                <w:szCs w:val="16"/>
              </w:rPr>
              <w:t>)</w:t>
            </w:r>
          </w:p>
        </w:tc>
        <w:tc>
          <w:tcPr>
            <w:tcW w:w="838" w:type="pct"/>
            <w:shd w:val="clear" w:color="auto" w:fill="auto"/>
            <w:noWrap/>
            <w:vAlign w:val="center"/>
          </w:tcPr>
          <w:p w14:paraId="0BB8DEC2" w14:textId="69E203D1" w:rsidR="00C54D9E" w:rsidRPr="00BB1811" w:rsidRDefault="00C54D9E" w:rsidP="00803334">
            <w:pPr>
              <w:tabs>
                <w:tab w:val="left" w:pos="180"/>
              </w:tabs>
              <w:jc w:val="left"/>
              <w:rPr>
                <w:rFonts w:cs="Mangal"/>
                <w:b/>
                <w:bCs/>
                <w:color w:val="000000"/>
                <w:sz w:val="16"/>
                <w:szCs w:val="16"/>
                <w:lang w:bidi="ne-NP"/>
              </w:rPr>
            </w:pPr>
            <w:r w:rsidRPr="00BB1811">
              <w:rPr>
                <w:rFonts w:cs="Mangal"/>
                <w:b/>
                <w:bCs/>
                <w:color w:val="000000"/>
                <w:sz w:val="16"/>
                <w:szCs w:val="16"/>
                <w:lang w:bidi="ne-NP"/>
              </w:rPr>
              <w:t>8,20,000</w:t>
            </w:r>
          </w:p>
        </w:tc>
        <w:tc>
          <w:tcPr>
            <w:tcW w:w="955" w:type="pct"/>
          </w:tcPr>
          <w:p w14:paraId="0079EC5E" w14:textId="77777777" w:rsidR="00C54D9E" w:rsidRPr="00BB1811" w:rsidRDefault="00C54D9E" w:rsidP="004B7420">
            <w:pPr>
              <w:tabs>
                <w:tab w:val="left" w:pos="180"/>
              </w:tabs>
              <w:rPr>
                <w:b/>
                <w:bCs/>
                <w:color w:val="000000"/>
                <w:sz w:val="16"/>
                <w:szCs w:val="16"/>
                <w:lang w:bidi="ne-NP"/>
              </w:rPr>
            </w:pPr>
          </w:p>
          <w:p w14:paraId="606D75BD" w14:textId="7A9F2F9C" w:rsidR="00C54D9E" w:rsidRPr="00BB1811" w:rsidRDefault="00C54D9E" w:rsidP="002A2752">
            <w:pPr>
              <w:tabs>
                <w:tab w:val="left" w:pos="180"/>
              </w:tabs>
              <w:jc w:val="center"/>
              <w:rPr>
                <w:b/>
                <w:bCs/>
                <w:color w:val="000000"/>
                <w:sz w:val="16"/>
                <w:szCs w:val="16"/>
                <w:lang w:bidi="ne-NP"/>
              </w:rPr>
            </w:pPr>
            <w:r w:rsidRPr="00BB1811">
              <w:rPr>
                <w:b/>
                <w:bCs/>
                <w:color w:val="000000"/>
                <w:sz w:val="16"/>
                <w:szCs w:val="16"/>
                <w:lang w:bidi="ne-NP"/>
              </w:rPr>
              <w:t>5</w:t>
            </w:r>
            <w:r w:rsidRPr="00BB1811">
              <w:rPr>
                <w:b/>
                <w:bCs/>
                <w:color w:val="000000"/>
                <w:sz w:val="16"/>
                <w:szCs w:val="16"/>
                <w:lang w:bidi="ne-NP"/>
              </w:rPr>
              <w:t>000</w:t>
            </w:r>
          </w:p>
        </w:tc>
        <w:tc>
          <w:tcPr>
            <w:tcW w:w="955" w:type="pct"/>
            <w:vMerge/>
            <w:shd w:val="clear" w:color="auto" w:fill="auto"/>
            <w:noWrap/>
            <w:vAlign w:val="center"/>
          </w:tcPr>
          <w:p w14:paraId="624AB837" w14:textId="77777777" w:rsidR="00C54D9E" w:rsidRPr="00BB1811" w:rsidRDefault="00C54D9E" w:rsidP="00803334">
            <w:pPr>
              <w:tabs>
                <w:tab w:val="left" w:pos="180"/>
              </w:tabs>
              <w:jc w:val="center"/>
              <w:rPr>
                <w:b/>
                <w:bCs/>
                <w:color w:val="000000"/>
                <w:sz w:val="16"/>
                <w:szCs w:val="16"/>
                <w:lang w:bidi="ne-NP"/>
              </w:rPr>
            </w:pPr>
          </w:p>
        </w:tc>
      </w:tr>
      <w:tr w:rsidR="00C54D9E" w:rsidRPr="00BB1811" w14:paraId="2F659B3B" w14:textId="77777777" w:rsidTr="00116A96">
        <w:trPr>
          <w:trHeight w:val="425"/>
        </w:trPr>
        <w:tc>
          <w:tcPr>
            <w:tcW w:w="1268" w:type="pct"/>
            <w:shd w:val="clear" w:color="auto" w:fill="auto"/>
            <w:noWrap/>
          </w:tcPr>
          <w:p w14:paraId="321B38F4" w14:textId="2CB1C898" w:rsidR="00C54D9E" w:rsidRPr="00BB1811" w:rsidRDefault="00C54D9E" w:rsidP="00803334">
            <w:pPr>
              <w:tabs>
                <w:tab w:val="left" w:pos="180"/>
              </w:tabs>
              <w:jc w:val="center"/>
              <w:rPr>
                <w:b/>
                <w:bCs/>
                <w:sz w:val="16"/>
                <w:szCs w:val="16"/>
                <w:lang w:val="en-GB"/>
              </w:rPr>
            </w:pPr>
            <w:r w:rsidRPr="00BB1811">
              <w:rPr>
                <w:b/>
                <w:bCs/>
                <w:sz w:val="16"/>
                <w:szCs w:val="16"/>
                <w:lang w:val="en-GB"/>
              </w:rPr>
              <w:t>PHLMC/G/NCB-</w:t>
            </w:r>
            <w:r w:rsidRPr="00BB1811">
              <w:rPr>
                <w:b/>
                <w:bCs/>
                <w:sz w:val="16"/>
                <w:szCs w:val="16"/>
                <w:lang w:val="en-GB"/>
              </w:rPr>
              <w:t>4.3</w:t>
            </w:r>
            <w:r w:rsidRPr="00BB1811">
              <w:rPr>
                <w:b/>
                <w:bCs/>
                <w:sz w:val="16"/>
                <w:szCs w:val="16"/>
                <w:lang w:val="en-GB"/>
              </w:rPr>
              <w:t>/2080-81</w:t>
            </w:r>
          </w:p>
        </w:tc>
        <w:tc>
          <w:tcPr>
            <w:tcW w:w="984" w:type="pct"/>
            <w:shd w:val="clear" w:color="auto" w:fill="auto"/>
            <w:noWrap/>
            <w:vAlign w:val="center"/>
          </w:tcPr>
          <w:p w14:paraId="5964B55E" w14:textId="5A98E711" w:rsidR="00C54D9E" w:rsidRPr="00BB1811" w:rsidRDefault="00C54D9E" w:rsidP="00803334">
            <w:pPr>
              <w:tabs>
                <w:tab w:val="left" w:pos="180"/>
              </w:tabs>
              <w:jc w:val="center"/>
              <w:rPr>
                <w:b/>
                <w:bCs/>
                <w:sz w:val="16"/>
                <w:szCs w:val="16"/>
              </w:rPr>
            </w:pPr>
            <w:r w:rsidRPr="00BB1811">
              <w:rPr>
                <w:b/>
                <w:bCs/>
                <w:sz w:val="16"/>
                <w:szCs w:val="16"/>
              </w:rPr>
              <w:t>Procurement of Miscellaneous Drugs</w:t>
            </w:r>
            <w:r w:rsidR="00866F9D" w:rsidRPr="00BB1811">
              <w:rPr>
                <w:b/>
                <w:bCs/>
                <w:sz w:val="16"/>
                <w:szCs w:val="16"/>
              </w:rPr>
              <w:t xml:space="preserve"> </w:t>
            </w:r>
            <w:r w:rsidR="00866F9D" w:rsidRPr="00BB1811">
              <w:rPr>
                <w:b/>
                <w:bCs/>
                <w:sz w:val="16"/>
                <w:szCs w:val="16"/>
              </w:rPr>
              <w:t>(Package-</w:t>
            </w:r>
            <w:r w:rsidR="00866F9D" w:rsidRPr="00BB1811">
              <w:rPr>
                <w:b/>
                <w:bCs/>
                <w:sz w:val="16"/>
                <w:szCs w:val="16"/>
              </w:rPr>
              <w:t>3</w:t>
            </w:r>
            <w:r w:rsidR="00866F9D" w:rsidRPr="00BB1811">
              <w:rPr>
                <w:b/>
                <w:bCs/>
                <w:sz w:val="16"/>
                <w:szCs w:val="16"/>
              </w:rPr>
              <w:t>)</w:t>
            </w:r>
          </w:p>
        </w:tc>
        <w:tc>
          <w:tcPr>
            <w:tcW w:w="838" w:type="pct"/>
            <w:shd w:val="clear" w:color="auto" w:fill="auto"/>
            <w:noWrap/>
            <w:vAlign w:val="center"/>
          </w:tcPr>
          <w:p w14:paraId="078EB0FE" w14:textId="16EE4951" w:rsidR="00C54D9E" w:rsidRPr="00BB1811" w:rsidRDefault="00C54D9E" w:rsidP="00803334">
            <w:pPr>
              <w:tabs>
                <w:tab w:val="left" w:pos="180"/>
              </w:tabs>
              <w:jc w:val="left"/>
              <w:rPr>
                <w:rFonts w:cs="Mangal"/>
                <w:b/>
                <w:bCs/>
                <w:color w:val="000000"/>
                <w:sz w:val="16"/>
                <w:szCs w:val="16"/>
                <w:lang w:bidi="ne-NP"/>
              </w:rPr>
            </w:pPr>
            <w:r w:rsidRPr="00BB1811">
              <w:rPr>
                <w:rFonts w:cs="Mangal"/>
                <w:b/>
                <w:bCs/>
                <w:color w:val="000000"/>
                <w:sz w:val="16"/>
                <w:szCs w:val="16"/>
                <w:lang w:bidi="ne-NP"/>
              </w:rPr>
              <w:t>2,</w:t>
            </w:r>
            <w:r w:rsidR="00866F9D" w:rsidRPr="00BB1811">
              <w:rPr>
                <w:rFonts w:cs="Mangal"/>
                <w:b/>
                <w:bCs/>
                <w:color w:val="000000"/>
                <w:sz w:val="16"/>
                <w:szCs w:val="16"/>
                <w:lang w:bidi="ne-NP"/>
              </w:rPr>
              <w:t>1</w:t>
            </w:r>
            <w:r w:rsidRPr="00BB1811">
              <w:rPr>
                <w:rFonts w:cs="Mangal"/>
                <w:b/>
                <w:bCs/>
                <w:color w:val="000000"/>
                <w:sz w:val="16"/>
                <w:szCs w:val="16"/>
                <w:lang w:bidi="ne-NP"/>
              </w:rPr>
              <w:t>0,000</w:t>
            </w:r>
          </w:p>
        </w:tc>
        <w:tc>
          <w:tcPr>
            <w:tcW w:w="955" w:type="pct"/>
          </w:tcPr>
          <w:p w14:paraId="1B4B4C85" w14:textId="77777777" w:rsidR="00C54D9E" w:rsidRPr="00BB1811" w:rsidRDefault="00C54D9E" w:rsidP="002A2752">
            <w:pPr>
              <w:tabs>
                <w:tab w:val="left" w:pos="180"/>
              </w:tabs>
              <w:rPr>
                <w:b/>
                <w:bCs/>
                <w:color w:val="000000"/>
                <w:sz w:val="16"/>
                <w:szCs w:val="16"/>
                <w:lang w:bidi="ne-NP"/>
              </w:rPr>
            </w:pPr>
          </w:p>
          <w:p w14:paraId="32C3588B" w14:textId="77777777" w:rsidR="00C54D9E" w:rsidRPr="00BB1811" w:rsidRDefault="00C54D9E" w:rsidP="002A2752">
            <w:pPr>
              <w:tabs>
                <w:tab w:val="left" w:pos="180"/>
              </w:tabs>
              <w:jc w:val="center"/>
              <w:rPr>
                <w:b/>
                <w:bCs/>
                <w:color w:val="000000"/>
                <w:sz w:val="16"/>
                <w:szCs w:val="16"/>
                <w:lang w:bidi="ne-NP"/>
              </w:rPr>
            </w:pPr>
            <w:r w:rsidRPr="00BB1811">
              <w:rPr>
                <w:b/>
                <w:bCs/>
                <w:color w:val="000000"/>
                <w:sz w:val="16"/>
                <w:szCs w:val="16"/>
                <w:lang w:bidi="ne-NP"/>
              </w:rPr>
              <w:t>3000</w:t>
            </w:r>
          </w:p>
        </w:tc>
        <w:tc>
          <w:tcPr>
            <w:tcW w:w="955" w:type="pct"/>
            <w:vMerge/>
            <w:shd w:val="clear" w:color="auto" w:fill="auto"/>
            <w:noWrap/>
            <w:vAlign w:val="center"/>
          </w:tcPr>
          <w:p w14:paraId="0B289841" w14:textId="77777777" w:rsidR="00C54D9E" w:rsidRPr="00BB1811" w:rsidRDefault="00C54D9E" w:rsidP="00803334">
            <w:pPr>
              <w:tabs>
                <w:tab w:val="left" w:pos="180"/>
              </w:tabs>
              <w:jc w:val="center"/>
              <w:rPr>
                <w:b/>
                <w:bCs/>
                <w:color w:val="000000"/>
                <w:sz w:val="16"/>
                <w:szCs w:val="16"/>
                <w:lang w:bidi="ne-NP"/>
              </w:rPr>
            </w:pPr>
          </w:p>
        </w:tc>
      </w:tr>
      <w:tr w:rsidR="00C54D9E" w:rsidRPr="00BB1811" w14:paraId="0C822D57" w14:textId="77777777" w:rsidTr="00116A96">
        <w:trPr>
          <w:trHeight w:val="425"/>
        </w:trPr>
        <w:tc>
          <w:tcPr>
            <w:tcW w:w="1268" w:type="pct"/>
            <w:shd w:val="clear" w:color="auto" w:fill="auto"/>
            <w:noWrap/>
          </w:tcPr>
          <w:p w14:paraId="0EA5ED70" w14:textId="296E1972" w:rsidR="00C54D9E" w:rsidRPr="00BB1811" w:rsidRDefault="00C54D9E" w:rsidP="00803334">
            <w:pPr>
              <w:tabs>
                <w:tab w:val="left" w:pos="180"/>
              </w:tabs>
              <w:jc w:val="center"/>
              <w:rPr>
                <w:b/>
                <w:bCs/>
                <w:sz w:val="16"/>
                <w:szCs w:val="16"/>
                <w:lang w:val="en-GB"/>
              </w:rPr>
            </w:pPr>
            <w:r w:rsidRPr="00BB1811">
              <w:rPr>
                <w:b/>
                <w:bCs/>
                <w:sz w:val="16"/>
                <w:szCs w:val="16"/>
                <w:lang w:val="en-GB"/>
              </w:rPr>
              <w:t>PHLMC/G/NCB-</w:t>
            </w:r>
            <w:r w:rsidRPr="00BB1811">
              <w:rPr>
                <w:b/>
                <w:bCs/>
                <w:sz w:val="16"/>
                <w:szCs w:val="16"/>
                <w:lang w:val="en-GB"/>
              </w:rPr>
              <w:t>11</w:t>
            </w:r>
            <w:r w:rsidRPr="00BB1811">
              <w:rPr>
                <w:b/>
                <w:bCs/>
                <w:sz w:val="16"/>
                <w:szCs w:val="16"/>
                <w:lang w:val="en-GB"/>
              </w:rPr>
              <w:t>/2080-81</w:t>
            </w:r>
          </w:p>
        </w:tc>
        <w:tc>
          <w:tcPr>
            <w:tcW w:w="984" w:type="pct"/>
            <w:shd w:val="clear" w:color="auto" w:fill="auto"/>
            <w:noWrap/>
            <w:vAlign w:val="center"/>
          </w:tcPr>
          <w:p w14:paraId="0E92A068" w14:textId="5425F3C7" w:rsidR="00C54D9E" w:rsidRPr="00BB1811" w:rsidRDefault="00C54D9E" w:rsidP="00803334">
            <w:pPr>
              <w:tabs>
                <w:tab w:val="left" w:pos="180"/>
              </w:tabs>
              <w:jc w:val="center"/>
              <w:rPr>
                <w:b/>
                <w:bCs/>
                <w:sz w:val="16"/>
                <w:szCs w:val="16"/>
              </w:rPr>
            </w:pPr>
            <w:r w:rsidRPr="00BB1811">
              <w:rPr>
                <w:b/>
                <w:bCs/>
                <w:sz w:val="16"/>
                <w:szCs w:val="16"/>
              </w:rPr>
              <w:t xml:space="preserve">Procurement of NCD and Mental Health Drugs  </w:t>
            </w:r>
          </w:p>
        </w:tc>
        <w:tc>
          <w:tcPr>
            <w:tcW w:w="838" w:type="pct"/>
            <w:shd w:val="clear" w:color="auto" w:fill="auto"/>
            <w:noWrap/>
            <w:vAlign w:val="center"/>
          </w:tcPr>
          <w:p w14:paraId="2A206A88" w14:textId="22AA51BE" w:rsidR="00C54D9E" w:rsidRPr="00BB1811" w:rsidRDefault="00C54D9E" w:rsidP="00803334">
            <w:pPr>
              <w:tabs>
                <w:tab w:val="left" w:pos="180"/>
              </w:tabs>
              <w:jc w:val="left"/>
              <w:rPr>
                <w:rFonts w:cs="Mangal"/>
                <w:b/>
                <w:bCs/>
                <w:color w:val="000000"/>
                <w:sz w:val="16"/>
                <w:szCs w:val="16"/>
                <w:lang w:bidi="ne-NP"/>
              </w:rPr>
            </w:pPr>
            <w:r w:rsidRPr="00BB1811">
              <w:rPr>
                <w:rFonts w:cs="Mangal"/>
                <w:b/>
                <w:bCs/>
                <w:color w:val="000000"/>
                <w:sz w:val="16"/>
                <w:szCs w:val="16"/>
                <w:lang w:bidi="ne-NP"/>
              </w:rPr>
              <w:t>1,30,000</w:t>
            </w:r>
          </w:p>
        </w:tc>
        <w:tc>
          <w:tcPr>
            <w:tcW w:w="955" w:type="pct"/>
          </w:tcPr>
          <w:p w14:paraId="66C111C8" w14:textId="77777777" w:rsidR="002A2752" w:rsidRPr="00BB1811" w:rsidRDefault="002A2752" w:rsidP="002A2752">
            <w:pPr>
              <w:tabs>
                <w:tab w:val="left" w:pos="180"/>
              </w:tabs>
              <w:jc w:val="center"/>
              <w:rPr>
                <w:b/>
                <w:bCs/>
                <w:color w:val="000000"/>
                <w:sz w:val="16"/>
                <w:szCs w:val="16"/>
                <w:lang w:bidi="ne-NP"/>
              </w:rPr>
            </w:pPr>
          </w:p>
          <w:p w14:paraId="38A3B873" w14:textId="3A5EED44" w:rsidR="00C54D9E" w:rsidRPr="00BB1811" w:rsidRDefault="00C54D9E" w:rsidP="002A2752">
            <w:pPr>
              <w:tabs>
                <w:tab w:val="left" w:pos="180"/>
              </w:tabs>
              <w:jc w:val="center"/>
              <w:rPr>
                <w:b/>
                <w:bCs/>
                <w:color w:val="000000"/>
                <w:sz w:val="16"/>
                <w:szCs w:val="16"/>
                <w:lang w:bidi="ne-NP"/>
              </w:rPr>
            </w:pPr>
            <w:r w:rsidRPr="00BB1811">
              <w:rPr>
                <w:b/>
                <w:bCs/>
                <w:color w:val="000000"/>
                <w:sz w:val="16"/>
                <w:szCs w:val="16"/>
                <w:lang w:bidi="ne-NP"/>
              </w:rPr>
              <w:t>3000</w:t>
            </w:r>
          </w:p>
        </w:tc>
        <w:tc>
          <w:tcPr>
            <w:tcW w:w="955" w:type="pct"/>
            <w:vMerge/>
            <w:shd w:val="clear" w:color="auto" w:fill="auto"/>
            <w:noWrap/>
            <w:vAlign w:val="center"/>
          </w:tcPr>
          <w:p w14:paraId="7BE7F3D5" w14:textId="77777777" w:rsidR="00C54D9E" w:rsidRPr="00BB1811" w:rsidRDefault="00C54D9E" w:rsidP="00803334">
            <w:pPr>
              <w:tabs>
                <w:tab w:val="left" w:pos="180"/>
              </w:tabs>
              <w:jc w:val="center"/>
              <w:rPr>
                <w:b/>
                <w:bCs/>
                <w:color w:val="000000"/>
                <w:sz w:val="16"/>
                <w:szCs w:val="16"/>
                <w:lang w:bidi="ne-NP"/>
              </w:rPr>
            </w:pPr>
          </w:p>
        </w:tc>
      </w:tr>
    </w:tbl>
    <w:p w14:paraId="6800E0F3" w14:textId="77777777" w:rsidR="00667BC6" w:rsidRPr="00BB1811" w:rsidRDefault="00667BC6" w:rsidP="00667BC6">
      <w:pPr>
        <w:autoSpaceDE w:val="0"/>
        <w:autoSpaceDN w:val="0"/>
        <w:adjustRightInd w:val="0"/>
        <w:spacing w:after="120"/>
        <w:ind w:right="216"/>
        <w:rPr>
          <w:i/>
          <w:sz w:val="16"/>
          <w:szCs w:val="16"/>
        </w:rPr>
      </w:pPr>
    </w:p>
    <w:p w14:paraId="04C2C52A" w14:textId="77777777" w:rsidR="00667BC6" w:rsidRPr="00BB1811" w:rsidRDefault="00667BC6" w:rsidP="00667BC6">
      <w:pPr>
        <w:numPr>
          <w:ilvl w:val="0"/>
          <w:numId w:val="1"/>
        </w:numPr>
        <w:autoSpaceDE w:val="0"/>
        <w:autoSpaceDN w:val="0"/>
        <w:adjustRightInd w:val="0"/>
        <w:spacing w:after="120"/>
        <w:ind w:right="216"/>
        <w:rPr>
          <w:sz w:val="16"/>
          <w:szCs w:val="16"/>
          <w:lang w:val="en-GB"/>
        </w:rPr>
      </w:pPr>
      <w:r w:rsidRPr="00BB1811">
        <w:rPr>
          <w:sz w:val="16"/>
          <w:szCs w:val="16"/>
        </w:rPr>
        <w:t xml:space="preserve">Eligible Bidders may obtain further information and inspect the bidding documents at the office of </w:t>
      </w:r>
      <w:r w:rsidRPr="00BB1811">
        <w:rPr>
          <w:b/>
          <w:bCs/>
          <w:sz w:val="16"/>
          <w:szCs w:val="16"/>
        </w:rPr>
        <w:t xml:space="preserve">Province Health Logistics Management Center </w:t>
      </w:r>
      <w:r w:rsidRPr="00BB1811">
        <w:rPr>
          <w:sz w:val="16"/>
          <w:szCs w:val="16"/>
        </w:rPr>
        <w:t xml:space="preserve">or may visit PPMO e-GP system </w:t>
      </w:r>
      <w:r w:rsidRPr="00BB1811">
        <w:rPr>
          <w:b/>
          <w:bCs/>
          <w:sz w:val="16"/>
          <w:szCs w:val="16"/>
        </w:rPr>
        <w:t>www.bolpatra.gov.np/egp.</w:t>
      </w:r>
    </w:p>
    <w:p w14:paraId="3F128B8A" w14:textId="77777777" w:rsidR="00667BC6" w:rsidRPr="00BB1811" w:rsidRDefault="00667BC6" w:rsidP="00667BC6">
      <w:pPr>
        <w:numPr>
          <w:ilvl w:val="0"/>
          <w:numId w:val="1"/>
        </w:numPr>
        <w:autoSpaceDE w:val="0"/>
        <w:autoSpaceDN w:val="0"/>
        <w:adjustRightInd w:val="0"/>
        <w:spacing w:after="120"/>
        <w:ind w:right="216"/>
        <w:rPr>
          <w:sz w:val="16"/>
          <w:szCs w:val="16"/>
        </w:rPr>
      </w:pPr>
      <w:r w:rsidRPr="00BB1811">
        <w:rPr>
          <w:sz w:val="16"/>
          <w:szCs w:val="16"/>
        </w:rPr>
        <w:t xml:space="preserve">Bidder who chooses to submit their bid electronically may purchase bid electronically from PPMO’s e-GP system www.bolpatra.gov.np/egp. Bidders, submitting their bid electronically, should deposit the cost of bidding document as mentioned in above table in the following </w:t>
      </w:r>
      <w:proofErr w:type="spellStart"/>
      <w:r w:rsidRPr="00BB1811">
        <w:rPr>
          <w:sz w:val="16"/>
          <w:szCs w:val="16"/>
        </w:rPr>
        <w:t>Rajaswa</w:t>
      </w:r>
      <w:proofErr w:type="spellEnd"/>
      <w:r w:rsidRPr="00BB1811">
        <w:rPr>
          <w:sz w:val="16"/>
          <w:szCs w:val="16"/>
        </w:rPr>
        <w:t xml:space="preserve"> (revenue) account as specified below.</w:t>
      </w:r>
    </w:p>
    <w:p w14:paraId="457FF836" w14:textId="77777777" w:rsidR="00667BC6" w:rsidRPr="00BB1811" w:rsidRDefault="00667BC6" w:rsidP="00667BC6">
      <w:pPr>
        <w:widowControl w:val="0"/>
        <w:autoSpaceDE w:val="0"/>
        <w:autoSpaceDN w:val="0"/>
        <w:adjustRightInd w:val="0"/>
        <w:spacing w:line="280" w:lineRule="exact"/>
        <w:ind w:right="1188"/>
        <w:rPr>
          <w:rFonts w:eastAsia="Arial Unicode MS"/>
          <w:b/>
          <w:iCs/>
          <w:color w:val="000000"/>
          <w:spacing w:val="-5"/>
          <w:sz w:val="16"/>
          <w:szCs w:val="16"/>
        </w:rPr>
      </w:pPr>
      <w:r w:rsidRPr="00BB1811">
        <w:rPr>
          <w:rFonts w:eastAsia="Arial Unicode MS"/>
          <w:bCs/>
          <w:iCs/>
          <w:spacing w:val="-5"/>
          <w:sz w:val="16"/>
          <w:szCs w:val="16"/>
        </w:rPr>
        <w:t xml:space="preserve">            </w:t>
      </w:r>
      <w:r w:rsidRPr="00BB1811">
        <w:rPr>
          <w:rFonts w:eastAsia="Arial Unicode MS"/>
          <w:b/>
          <w:iCs/>
          <w:color w:val="000000"/>
          <w:spacing w:val="-5"/>
          <w:sz w:val="16"/>
          <w:szCs w:val="16"/>
        </w:rPr>
        <w:t xml:space="preserve">Name of the Bank: </w:t>
      </w:r>
      <w:proofErr w:type="spellStart"/>
      <w:r w:rsidRPr="00BB1811">
        <w:rPr>
          <w:rFonts w:eastAsia="Arial Unicode MS"/>
          <w:b/>
          <w:iCs/>
          <w:color w:val="000000"/>
          <w:spacing w:val="-5"/>
          <w:sz w:val="16"/>
          <w:szCs w:val="16"/>
        </w:rPr>
        <w:t>Rastriye</w:t>
      </w:r>
      <w:proofErr w:type="spellEnd"/>
      <w:r w:rsidRPr="00BB1811">
        <w:rPr>
          <w:rFonts w:eastAsia="Arial Unicode MS"/>
          <w:b/>
          <w:iCs/>
          <w:color w:val="000000"/>
          <w:spacing w:val="-5"/>
          <w:sz w:val="16"/>
          <w:szCs w:val="16"/>
        </w:rPr>
        <w:t xml:space="preserve"> </w:t>
      </w:r>
      <w:proofErr w:type="spellStart"/>
      <w:r w:rsidRPr="00BB1811">
        <w:rPr>
          <w:rFonts w:eastAsia="Arial Unicode MS"/>
          <w:b/>
          <w:iCs/>
          <w:color w:val="000000"/>
          <w:spacing w:val="-5"/>
          <w:sz w:val="16"/>
          <w:szCs w:val="16"/>
        </w:rPr>
        <w:t>Banijya</w:t>
      </w:r>
      <w:proofErr w:type="spellEnd"/>
      <w:r w:rsidRPr="00BB1811">
        <w:rPr>
          <w:rFonts w:eastAsia="Arial Unicode MS"/>
          <w:b/>
          <w:iCs/>
          <w:color w:val="000000"/>
          <w:spacing w:val="-5"/>
          <w:sz w:val="16"/>
          <w:szCs w:val="16"/>
        </w:rPr>
        <w:t xml:space="preserve"> Bank, </w:t>
      </w:r>
      <w:proofErr w:type="spellStart"/>
      <w:r w:rsidRPr="00BB1811">
        <w:rPr>
          <w:rFonts w:eastAsia="Arial Unicode MS"/>
          <w:b/>
          <w:iCs/>
          <w:color w:val="000000"/>
          <w:spacing w:val="-5"/>
          <w:sz w:val="16"/>
          <w:szCs w:val="16"/>
        </w:rPr>
        <w:t>Pritihivi</w:t>
      </w:r>
      <w:proofErr w:type="spellEnd"/>
      <w:r w:rsidRPr="00BB1811">
        <w:rPr>
          <w:rFonts w:eastAsia="Arial Unicode MS"/>
          <w:b/>
          <w:iCs/>
          <w:color w:val="000000"/>
          <w:spacing w:val="-5"/>
          <w:sz w:val="16"/>
          <w:szCs w:val="16"/>
        </w:rPr>
        <w:t xml:space="preserve"> Chowk,</w:t>
      </w:r>
    </w:p>
    <w:p w14:paraId="5962099B" w14:textId="77777777" w:rsidR="00667BC6" w:rsidRPr="00BB1811" w:rsidRDefault="00667BC6" w:rsidP="00667BC6">
      <w:pPr>
        <w:widowControl w:val="0"/>
        <w:autoSpaceDE w:val="0"/>
        <w:autoSpaceDN w:val="0"/>
        <w:adjustRightInd w:val="0"/>
        <w:spacing w:line="280" w:lineRule="exact"/>
        <w:ind w:right="1188"/>
        <w:rPr>
          <w:rFonts w:eastAsia="Arial Unicode MS"/>
          <w:b/>
          <w:iCs/>
          <w:color w:val="000000"/>
          <w:spacing w:val="-5"/>
          <w:sz w:val="16"/>
          <w:szCs w:val="16"/>
        </w:rPr>
      </w:pPr>
      <w:r w:rsidRPr="00BB1811">
        <w:rPr>
          <w:rFonts w:eastAsia="Arial Unicode MS"/>
          <w:b/>
          <w:iCs/>
          <w:color w:val="000000"/>
          <w:spacing w:val="-5"/>
          <w:sz w:val="16"/>
          <w:szCs w:val="16"/>
        </w:rPr>
        <w:t xml:space="preserve">             Name of </w:t>
      </w:r>
      <w:proofErr w:type="gramStart"/>
      <w:r w:rsidRPr="00BB1811">
        <w:rPr>
          <w:rFonts w:eastAsia="Arial Unicode MS"/>
          <w:b/>
          <w:iCs/>
          <w:color w:val="000000"/>
          <w:spacing w:val="-5"/>
          <w:sz w:val="16"/>
          <w:szCs w:val="16"/>
        </w:rPr>
        <w:t>Office :</w:t>
      </w:r>
      <w:proofErr w:type="gramEnd"/>
      <w:r w:rsidRPr="00BB1811">
        <w:rPr>
          <w:rFonts w:eastAsia="Arial Unicode MS"/>
          <w:b/>
          <w:iCs/>
          <w:color w:val="000000"/>
          <w:spacing w:val="-5"/>
          <w:sz w:val="16"/>
          <w:szCs w:val="16"/>
        </w:rPr>
        <w:t xml:space="preserve"> </w:t>
      </w:r>
      <w:r w:rsidRPr="00BB1811">
        <w:rPr>
          <w:b/>
          <w:color w:val="000000"/>
          <w:sz w:val="16"/>
          <w:szCs w:val="16"/>
        </w:rPr>
        <w:t>Province Health Logistics Management Center</w:t>
      </w:r>
    </w:p>
    <w:p w14:paraId="21175EEB" w14:textId="77777777" w:rsidR="00667BC6" w:rsidRPr="00BB1811" w:rsidRDefault="00667BC6" w:rsidP="00667BC6">
      <w:pPr>
        <w:widowControl w:val="0"/>
        <w:autoSpaceDE w:val="0"/>
        <w:autoSpaceDN w:val="0"/>
        <w:adjustRightInd w:val="0"/>
        <w:spacing w:line="280" w:lineRule="exact"/>
        <w:ind w:left="360" w:right="1188"/>
        <w:rPr>
          <w:rFonts w:eastAsia="Arial Unicode MS"/>
          <w:b/>
          <w:iCs/>
          <w:color w:val="000000"/>
          <w:spacing w:val="-5"/>
          <w:sz w:val="16"/>
          <w:szCs w:val="16"/>
        </w:rPr>
      </w:pPr>
      <w:r w:rsidRPr="00BB1811">
        <w:rPr>
          <w:rFonts w:eastAsia="Arial Unicode MS"/>
          <w:b/>
          <w:iCs/>
          <w:color w:val="000000"/>
          <w:spacing w:val="-5"/>
          <w:sz w:val="16"/>
          <w:szCs w:val="16"/>
        </w:rPr>
        <w:t xml:space="preserve">     Office Code </w:t>
      </w:r>
      <w:proofErr w:type="gramStart"/>
      <w:r w:rsidRPr="00BB1811">
        <w:rPr>
          <w:rFonts w:eastAsia="Arial Unicode MS"/>
          <w:b/>
          <w:iCs/>
          <w:color w:val="000000"/>
          <w:spacing w:val="-5"/>
          <w:sz w:val="16"/>
          <w:szCs w:val="16"/>
        </w:rPr>
        <w:t>no. :</w:t>
      </w:r>
      <w:proofErr w:type="gramEnd"/>
      <w:r w:rsidRPr="00BB1811">
        <w:rPr>
          <w:rFonts w:eastAsia="Arial Unicode MS"/>
          <w:b/>
          <w:iCs/>
          <w:color w:val="000000"/>
          <w:spacing w:val="-5"/>
          <w:sz w:val="16"/>
          <w:szCs w:val="16"/>
        </w:rPr>
        <w:t xml:space="preserve"> 3500539014</w:t>
      </w:r>
    </w:p>
    <w:p w14:paraId="18A12E85" w14:textId="77777777" w:rsidR="00667BC6" w:rsidRPr="00BB1811" w:rsidRDefault="00667BC6" w:rsidP="00667BC6">
      <w:pPr>
        <w:widowControl w:val="0"/>
        <w:autoSpaceDE w:val="0"/>
        <w:autoSpaceDN w:val="0"/>
        <w:adjustRightInd w:val="0"/>
        <w:spacing w:line="280" w:lineRule="exact"/>
        <w:ind w:left="360" w:right="1188"/>
        <w:rPr>
          <w:rFonts w:eastAsia="Arial Unicode MS"/>
          <w:b/>
          <w:iCs/>
          <w:color w:val="000000"/>
          <w:spacing w:val="-5"/>
          <w:sz w:val="16"/>
          <w:szCs w:val="16"/>
        </w:rPr>
      </w:pPr>
      <w:r w:rsidRPr="00BB1811">
        <w:rPr>
          <w:rFonts w:eastAsia="Arial Unicode MS"/>
          <w:b/>
          <w:iCs/>
          <w:color w:val="000000"/>
          <w:spacing w:val="-5"/>
          <w:sz w:val="16"/>
          <w:szCs w:val="16"/>
        </w:rPr>
        <w:t xml:space="preserve">      Office Account no.: 1000100501004000</w:t>
      </w:r>
    </w:p>
    <w:p w14:paraId="7A82734A" w14:textId="77777777" w:rsidR="00667BC6" w:rsidRPr="00BB1811" w:rsidRDefault="00667BC6" w:rsidP="00667BC6">
      <w:pPr>
        <w:widowControl w:val="0"/>
        <w:autoSpaceDE w:val="0"/>
        <w:autoSpaceDN w:val="0"/>
        <w:adjustRightInd w:val="0"/>
        <w:spacing w:line="280" w:lineRule="exact"/>
        <w:ind w:left="360" w:right="1188"/>
        <w:rPr>
          <w:rFonts w:eastAsia="Arial Unicode MS"/>
          <w:b/>
          <w:iCs/>
          <w:color w:val="000000"/>
          <w:spacing w:val="-5"/>
          <w:sz w:val="16"/>
          <w:szCs w:val="16"/>
        </w:rPr>
      </w:pPr>
      <w:r w:rsidRPr="00BB1811">
        <w:rPr>
          <w:rFonts w:eastAsia="Arial Unicode MS"/>
          <w:b/>
          <w:iCs/>
          <w:color w:val="000000"/>
          <w:spacing w:val="-5"/>
          <w:sz w:val="16"/>
          <w:szCs w:val="16"/>
        </w:rPr>
        <w:t xml:space="preserve">      </w:t>
      </w:r>
      <w:proofErr w:type="spellStart"/>
      <w:r w:rsidRPr="00BB1811">
        <w:rPr>
          <w:rFonts w:eastAsia="Arial Unicode MS"/>
          <w:b/>
          <w:iCs/>
          <w:color w:val="000000"/>
          <w:spacing w:val="-5"/>
          <w:sz w:val="16"/>
          <w:szCs w:val="16"/>
        </w:rPr>
        <w:t>Rajaswa</w:t>
      </w:r>
      <w:proofErr w:type="spellEnd"/>
      <w:r w:rsidRPr="00BB1811">
        <w:rPr>
          <w:rFonts w:eastAsia="Arial Unicode MS"/>
          <w:b/>
          <w:iCs/>
          <w:color w:val="000000"/>
          <w:spacing w:val="-5"/>
          <w:sz w:val="16"/>
          <w:szCs w:val="16"/>
        </w:rPr>
        <w:t xml:space="preserve"> (revenue) </w:t>
      </w:r>
      <w:proofErr w:type="spellStart"/>
      <w:r w:rsidRPr="00BB1811">
        <w:rPr>
          <w:rFonts w:eastAsia="Arial Unicode MS"/>
          <w:b/>
          <w:iCs/>
          <w:color w:val="000000"/>
          <w:spacing w:val="-5"/>
          <w:sz w:val="16"/>
          <w:szCs w:val="16"/>
        </w:rPr>
        <w:t>Shirshak</w:t>
      </w:r>
      <w:proofErr w:type="spellEnd"/>
      <w:r w:rsidRPr="00BB1811">
        <w:rPr>
          <w:rFonts w:eastAsia="Arial Unicode MS"/>
          <w:b/>
          <w:iCs/>
          <w:color w:val="000000"/>
          <w:spacing w:val="-5"/>
          <w:sz w:val="16"/>
          <w:szCs w:val="16"/>
        </w:rPr>
        <w:t xml:space="preserve"> </w:t>
      </w:r>
      <w:proofErr w:type="gramStart"/>
      <w:r w:rsidRPr="00BB1811">
        <w:rPr>
          <w:rFonts w:eastAsia="Arial Unicode MS"/>
          <w:b/>
          <w:iCs/>
          <w:color w:val="000000"/>
          <w:spacing w:val="-5"/>
          <w:sz w:val="16"/>
          <w:szCs w:val="16"/>
        </w:rPr>
        <w:t>no :</w:t>
      </w:r>
      <w:proofErr w:type="gramEnd"/>
      <w:r w:rsidRPr="00BB1811">
        <w:rPr>
          <w:rFonts w:eastAsia="Arial Unicode MS"/>
          <w:b/>
          <w:iCs/>
          <w:color w:val="000000"/>
          <w:spacing w:val="-5"/>
          <w:sz w:val="16"/>
          <w:szCs w:val="16"/>
        </w:rPr>
        <w:t xml:space="preserve"> 14229</w:t>
      </w:r>
    </w:p>
    <w:p w14:paraId="4F632835" w14:textId="18F73368" w:rsidR="00667BC6" w:rsidRPr="00BB1811" w:rsidRDefault="00667BC6" w:rsidP="00667BC6">
      <w:pPr>
        <w:numPr>
          <w:ilvl w:val="0"/>
          <w:numId w:val="1"/>
        </w:numPr>
        <w:autoSpaceDE w:val="0"/>
        <w:autoSpaceDN w:val="0"/>
        <w:adjustRightInd w:val="0"/>
        <w:spacing w:after="120"/>
        <w:ind w:right="216"/>
        <w:rPr>
          <w:sz w:val="16"/>
          <w:szCs w:val="16"/>
        </w:rPr>
      </w:pPr>
      <w:r w:rsidRPr="00BB1811">
        <w:rPr>
          <w:sz w:val="16"/>
          <w:szCs w:val="16"/>
        </w:rPr>
        <w:t xml:space="preserve">Electronic bids must be submitted to the office </w:t>
      </w:r>
      <w:r w:rsidRPr="00BB1811">
        <w:rPr>
          <w:b/>
          <w:bCs/>
          <w:sz w:val="16"/>
          <w:szCs w:val="16"/>
        </w:rPr>
        <w:t xml:space="preserve">Province Health Logistics Management Center </w:t>
      </w:r>
      <w:r w:rsidRPr="00BB1811">
        <w:rPr>
          <w:sz w:val="16"/>
          <w:szCs w:val="16"/>
        </w:rPr>
        <w:t xml:space="preserve">by through PPMO’s e-GP system </w:t>
      </w:r>
      <w:hyperlink r:id="rId5" w:history="1">
        <w:r w:rsidRPr="00BB1811">
          <w:rPr>
            <w:sz w:val="16"/>
            <w:szCs w:val="16"/>
          </w:rPr>
          <w:t>www.bolpatra.gov.np/egp</w:t>
        </w:r>
      </w:hyperlink>
      <w:r w:rsidRPr="00BB1811">
        <w:rPr>
          <w:sz w:val="16"/>
          <w:szCs w:val="16"/>
        </w:rPr>
        <w:t xml:space="preserve"> on or </w:t>
      </w:r>
      <w:r w:rsidR="003A4440" w:rsidRPr="00BB1811">
        <w:rPr>
          <w:sz w:val="16"/>
          <w:szCs w:val="16"/>
        </w:rPr>
        <w:t xml:space="preserve">before </w:t>
      </w:r>
      <w:r w:rsidR="003A4440" w:rsidRPr="00BB1811">
        <w:rPr>
          <w:b/>
          <w:bCs/>
          <w:i/>
          <w:iCs/>
          <w:sz w:val="16"/>
          <w:szCs w:val="16"/>
        </w:rPr>
        <w:t>12:00</w:t>
      </w:r>
      <w:r w:rsidRPr="00BB1811">
        <w:rPr>
          <w:b/>
          <w:bCs/>
          <w:i/>
          <w:iCs/>
          <w:sz w:val="16"/>
          <w:szCs w:val="16"/>
        </w:rPr>
        <w:t xml:space="preserve">(local </w:t>
      </w:r>
      <w:proofErr w:type="gramStart"/>
      <w:r w:rsidRPr="00BB1811">
        <w:rPr>
          <w:b/>
          <w:bCs/>
          <w:i/>
          <w:iCs/>
          <w:sz w:val="16"/>
          <w:szCs w:val="16"/>
        </w:rPr>
        <w:t>time)</w:t>
      </w:r>
      <w:r w:rsidRPr="00BB1811">
        <w:rPr>
          <w:sz w:val="16"/>
          <w:szCs w:val="16"/>
        </w:rPr>
        <w:t>on</w:t>
      </w:r>
      <w:proofErr w:type="gramEnd"/>
      <w:r w:rsidRPr="00BB1811">
        <w:rPr>
          <w:sz w:val="16"/>
          <w:szCs w:val="16"/>
        </w:rPr>
        <w:t xml:space="preserve"> </w:t>
      </w:r>
      <w:r w:rsidR="002A2752" w:rsidRPr="00BB1811">
        <w:rPr>
          <w:b/>
          <w:bCs/>
          <w:sz w:val="16"/>
          <w:szCs w:val="16"/>
        </w:rPr>
        <w:t>16</w:t>
      </w:r>
      <w:r w:rsidRPr="00BB1811">
        <w:rPr>
          <w:b/>
          <w:bCs/>
          <w:sz w:val="16"/>
          <w:szCs w:val="16"/>
        </w:rPr>
        <w:t>-Oct, 2023 (</w:t>
      </w:r>
      <w:proofErr w:type="spellStart"/>
      <w:r w:rsidRPr="00BB1811">
        <w:rPr>
          <w:b/>
          <w:bCs/>
          <w:sz w:val="16"/>
          <w:szCs w:val="16"/>
        </w:rPr>
        <w:t>Ashoj</w:t>
      </w:r>
      <w:proofErr w:type="spellEnd"/>
      <w:r w:rsidRPr="00BB1811">
        <w:rPr>
          <w:b/>
          <w:bCs/>
          <w:sz w:val="16"/>
          <w:szCs w:val="16"/>
        </w:rPr>
        <w:t xml:space="preserve"> 2</w:t>
      </w:r>
      <w:r w:rsidR="002A2752" w:rsidRPr="00BB1811">
        <w:rPr>
          <w:b/>
          <w:bCs/>
          <w:sz w:val="16"/>
          <w:szCs w:val="16"/>
        </w:rPr>
        <w:t>9</w:t>
      </w:r>
      <w:r w:rsidRPr="00BB1811">
        <w:rPr>
          <w:b/>
          <w:bCs/>
          <w:sz w:val="16"/>
          <w:szCs w:val="16"/>
        </w:rPr>
        <w:t>,2080)</w:t>
      </w:r>
      <w:r w:rsidRPr="00BB1811">
        <w:rPr>
          <w:sz w:val="16"/>
          <w:szCs w:val="16"/>
        </w:rPr>
        <w:t xml:space="preserve">.Bids received after this deadline will be rejected.   </w:t>
      </w:r>
    </w:p>
    <w:p w14:paraId="2A0A64ED" w14:textId="292638D4" w:rsidR="00667BC6" w:rsidRPr="00BB1811" w:rsidRDefault="00667BC6" w:rsidP="00667BC6">
      <w:pPr>
        <w:numPr>
          <w:ilvl w:val="0"/>
          <w:numId w:val="1"/>
        </w:numPr>
        <w:tabs>
          <w:tab w:val="left" w:pos="180"/>
        </w:tabs>
        <w:jc w:val="center"/>
        <w:rPr>
          <w:rFonts w:cs="Mangal"/>
          <w:b/>
          <w:bCs/>
          <w:color w:val="000000"/>
          <w:sz w:val="16"/>
          <w:szCs w:val="16"/>
          <w:lang w:bidi="ne-NP"/>
        </w:rPr>
      </w:pPr>
      <w:r w:rsidRPr="00BB1811">
        <w:rPr>
          <w:sz w:val="16"/>
          <w:szCs w:val="16"/>
        </w:rPr>
        <w:t xml:space="preserve">The Technical bids will be opened in the presence of Bidders' representatives who choose to attend </w:t>
      </w:r>
      <w:r w:rsidRPr="00BB1811">
        <w:rPr>
          <w:b/>
          <w:bCs/>
          <w:i/>
          <w:iCs/>
          <w:sz w:val="16"/>
          <w:szCs w:val="16"/>
        </w:rPr>
        <w:t>at 13:00 hour (Local Time)</w:t>
      </w:r>
      <w:r w:rsidRPr="00BB1811">
        <w:rPr>
          <w:sz w:val="16"/>
          <w:szCs w:val="16"/>
        </w:rPr>
        <w:t xml:space="preserve"> on </w:t>
      </w:r>
      <w:r w:rsidR="002A2752" w:rsidRPr="00BB1811">
        <w:rPr>
          <w:b/>
          <w:bCs/>
          <w:sz w:val="16"/>
          <w:szCs w:val="16"/>
        </w:rPr>
        <w:t>16</w:t>
      </w:r>
      <w:r w:rsidRPr="00BB1811">
        <w:rPr>
          <w:b/>
          <w:bCs/>
          <w:sz w:val="16"/>
          <w:szCs w:val="16"/>
        </w:rPr>
        <w:t>-Oct, 2023 (</w:t>
      </w:r>
      <w:proofErr w:type="spellStart"/>
      <w:r w:rsidRPr="00BB1811">
        <w:rPr>
          <w:b/>
          <w:bCs/>
          <w:sz w:val="16"/>
          <w:szCs w:val="16"/>
        </w:rPr>
        <w:t>Ashoj</w:t>
      </w:r>
      <w:proofErr w:type="spellEnd"/>
      <w:r w:rsidRPr="00BB1811">
        <w:rPr>
          <w:b/>
          <w:bCs/>
          <w:sz w:val="16"/>
          <w:szCs w:val="16"/>
        </w:rPr>
        <w:t xml:space="preserve"> </w:t>
      </w:r>
      <w:r w:rsidR="002A2752" w:rsidRPr="00BB1811">
        <w:rPr>
          <w:b/>
          <w:bCs/>
          <w:sz w:val="16"/>
          <w:szCs w:val="16"/>
        </w:rPr>
        <w:t>29</w:t>
      </w:r>
      <w:r w:rsidRPr="00BB1811">
        <w:rPr>
          <w:b/>
          <w:bCs/>
          <w:sz w:val="16"/>
          <w:szCs w:val="16"/>
        </w:rPr>
        <w:t>,2080)</w:t>
      </w:r>
      <w:r w:rsidRPr="00BB1811">
        <w:rPr>
          <w:sz w:val="16"/>
          <w:szCs w:val="16"/>
        </w:rPr>
        <w:t>.</w:t>
      </w:r>
      <w:r w:rsidRPr="00BB1811">
        <w:rPr>
          <w:b/>
          <w:bCs/>
          <w:sz w:val="16"/>
          <w:szCs w:val="16"/>
        </w:rPr>
        <w:t>)</w:t>
      </w:r>
      <w:r w:rsidRPr="00BB1811">
        <w:rPr>
          <w:sz w:val="16"/>
          <w:szCs w:val="16"/>
        </w:rPr>
        <w:t xml:space="preserve">at the office of </w:t>
      </w:r>
      <w:r w:rsidRPr="00BB1811">
        <w:rPr>
          <w:b/>
          <w:bCs/>
          <w:sz w:val="16"/>
          <w:szCs w:val="16"/>
        </w:rPr>
        <w:t xml:space="preserve">Province Health Logistics Management Center, Gandaki  Pokhara  </w:t>
      </w:r>
      <w:r w:rsidRPr="00BB1811">
        <w:rPr>
          <w:sz w:val="16"/>
          <w:szCs w:val="16"/>
        </w:rPr>
        <w:t xml:space="preserve">Bids must be valid for a period of </w:t>
      </w:r>
      <w:r w:rsidRPr="00BB1811">
        <w:rPr>
          <w:b/>
          <w:bCs/>
          <w:i/>
          <w:iCs/>
          <w:sz w:val="16"/>
          <w:szCs w:val="16"/>
        </w:rPr>
        <w:t xml:space="preserve">90 Days </w:t>
      </w:r>
      <w:r w:rsidRPr="00BB1811">
        <w:rPr>
          <w:sz w:val="16"/>
          <w:szCs w:val="16"/>
        </w:rPr>
        <w:t xml:space="preserve"> from the date of bid opening and must be accompanied by a bid security or scanned copy of the bid security in pdf format in case of e-bid, which shall be valid for 30 days beyond the validity period of the bid.</w:t>
      </w:r>
    </w:p>
    <w:p w14:paraId="6BCEB29C" w14:textId="77777777" w:rsidR="00667BC6" w:rsidRPr="00BB1811" w:rsidRDefault="00667BC6" w:rsidP="00667BC6">
      <w:pPr>
        <w:tabs>
          <w:tab w:val="left" w:pos="180"/>
        </w:tabs>
        <w:ind w:left="720"/>
        <w:rPr>
          <w:rFonts w:cs="Mangal"/>
          <w:b/>
          <w:bCs/>
          <w:color w:val="000000"/>
          <w:sz w:val="16"/>
          <w:szCs w:val="16"/>
          <w:lang w:bidi="ne-NP"/>
        </w:rPr>
      </w:pPr>
    </w:p>
    <w:p w14:paraId="73A6F4B1" w14:textId="77777777" w:rsidR="00667BC6" w:rsidRPr="00BB1811" w:rsidRDefault="00667BC6" w:rsidP="00667BC6">
      <w:pPr>
        <w:numPr>
          <w:ilvl w:val="0"/>
          <w:numId w:val="1"/>
        </w:numPr>
        <w:autoSpaceDE w:val="0"/>
        <w:autoSpaceDN w:val="0"/>
        <w:adjustRightInd w:val="0"/>
        <w:spacing w:before="120" w:after="120"/>
        <w:ind w:right="216"/>
        <w:rPr>
          <w:sz w:val="16"/>
          <w:szCs w:val="16"/>
        </w:rPr>
      </w:pPr>
      <w:r w:rsidRPr="00BB1811">
        <w:rPr>
          <w:sz w:val="16"/>
          <w:szCs w:val="16"/>
        </w:rPr>
        <w:t xml:space="preserve"> If the last date of purchasing and /or submission falls on a government holiday, then the next working day shall be considered as the last date. In such case the validity period of the bid and bid security shall remain the same as specified for the original last date of bid submission.</w:t>
      </w:r>
    </w:p>
    <w:p w14:paraId="67062B66" w14:textId="77777777" w:rsidR="00667BC6" w:rsidRPr="00BB1811" w:rsidRDefault="00667BC6" w:rsidP="00667BC6">
      <w:pPr>
        <w:autoSpaceDE w:val="0"/>
        <w:autoSpaceDN w:val="0"/>
        <w:adjustRightInd w:val="0"/>
        <w:spacing w:before="120" w:after="120"/>
        <w:ind w:right="216"/>
        <w:rPr>
          <w:sz w:val="16"/>
          <w:szCs w:val="16"/>
        </w:rPr>
      </w:pPr>
    </w:p>
    <w:p w14:paraId="72BBE70E" w14:textId="77777777" w:rsidR="00667BC6" w:rsidRPr="00BB1811" w:rsidRDefault="00667BC6" w:rsidP="00667BC6">
      <w:pPr>
        <w:rPr>
          <w:sz w:val="16"/>
          <w:szCs w:val="16"/>
        </w:rPr>
      </w:pPr>
    </w:p>
    <w:p w14:paraId="59794384" w14:textId="77777777" w:rsidR="00523FC9" w:rsidRPr="00BB1811" w:rsidRDefault="00523FC9">
      <w:pPr>
        <w:rPr>
          <w:sz w:val="16"/>
          <w:szCs w:val="16"/>
        </w:rPr>
      </w:pPr>
    </w:p>
    <w:sectPr w:rsidR="00523FC9" w:rsidRPr="00BB1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D014A"/>
    <w:multiLevelType w:val="hybridMultilevel"/>
    <w:tmpl w:val="537AEAE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15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DD"/>
    <w:rsid w:val="00116A96"/>
    <w:rsid w:val="001F12DD"/>
    <w:rsid w:val="0024367C"/>
    <w:rsid w:val="002A2752"/>
    <w:rsid w:val="003A4440"/>
    <w:rsid w:val="004B7420"/>
    <w:rsid w:val="00523FC9"/>
    <w:rsid w:val="00550F49"/>
    <w:rsid w:val="00665446"/>
    <w:rsid w:val="00667BC6"/>
    <w:rsid w:val="007B5B84"/>
    <w:rsid w:val="00866F9D"/>
    <w:rsid w:val="00A20BED"/>
    <w:rsid w:val="00BB1811"/>
    <w:rsid w:val="00C54D9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1218"/>
  <w15:chartTrackingRefBased/>
  <w15:docId w15:val="{3CFC8D15-3D76-4798-B020-71201D5F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C6"/>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7BC6"/>
    <w:pPr>
      <w:jc w:val="center"/>
    </w:pPr>
    <w:rPr>
      <w:b/>
      <w:sz w:val="48"/>
    </w:rPr>
  </w:style>
  <w:style w:type="character" w:customStyle="1" w:styleId="TitleChar">
    <w:name w:val="Title Char"/>
    <w:basedOn w:val="DefaultParagraphFont"/>
    <w:link w:val="Title"/>
    <w:rsid w:val="00667BC6"/>
    <w:rPr>
      <w:rFonts w:ascii="Times New Roman" w:eastAsia="Times New Roman" w:hAnsi="Times New Roman" w:cs="Times New Roman"/>
      <w:b/>
      <w:kern w:val="0"/>
      <w:sz w:val="4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lpatra.gov.np/eg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2023-09-13T11:55:00Z</cp:lastPrinted>
  <dcterms:created xsi:type="dcterms:W3CDTF">2023-09-13T11:04:00Z</dcterms:created>
  <dcterms:modified xsi:type="dcterms:W3CDTF">2023-09-13T12:00:00Z</dcterms:modified>
</cp:coreProperties>
</file>